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FAC" w:rsidRDefault="00346FAC" w:rsidP="00346FAC">
      <w:pPr>
        <w:pStyle w:val="Akti"/>
      </w:pPr>
      <w:bookmarkStart w:id="0" w:name="_GoBack"/>
      <w:bookmarkEnd w:id="0"/>
      <w:r>
        <w:t>Vendim</w:t>
      </w:r>
    </w:p>
    <w:p w:rsidR="00346FAC" w:rsidRDefault="00346FAC" w:rsidP="00346FAC">
      <w:pPr>
        <w:pStyle w:val="NumriData"/>
      </w:pPr>
      <w:r>
        <w:t>Nr.1145, datë 5.8.2008</w:t>
      </w:r>
    </w:p>
    <w:p w:rsidR="00346FAC" w:rsidRDefault="00346FAC" w:rsidP="00346FAC">
      <w:pPr>
        <w:pStyle w:val="Paragrafi"/>
        <w:rPr>
          <w:lang w:val="de-DE"/>
        </w:rPr>
      </w:pPr>
    </w:p>
    <w:p w:rsidR="00346FAC" w:rsidRDefault="00346FAC" w:rsidP="00346FAC">
      <w:pPr>
        <w:pStyle w:val="Titulli"/>
      </w:pPr>
      <w:r>
        <w:t>Për disa ndryshime dhe shtesa në vendimin nr.455, datë 16.4.2008 të Këshillit të Ministrave “Për kalimin e sipërfaqes 6800 (gjashtë mijë e tetëqind) m</w:t>
      </w:r>
      <w:r w:rsidRPr="000F683A">
        <w:rPr>
          <w:vertAlign w:val="superscript"/>
        </w:rPr>
        <w:t>2</w:t>
      </w:r>
      <w:r>
        <w:t>, pronë shtetërore, në pronësi të komunave Fan e Orosh dhe të bashkive rubik e Rrëshen”</w:t>
      </w:r>
    </w:p>
    <w:p w:rsidR="00346FAC" w:rsidRDefault="00346FAC" w:rsidP="00346FAC">
      <w:pPr>
        <w:pStyle w:val="Paragrafi"/>
        <w:rPr>
          <w:lang w:val="de-DE"/>
        </w:rPr>
      </w:pPr>
    </w:p>
    <w:p w:rsidR="00346FAC" w:rsidRDefault="00346FAC" w:rsidP="00346FAC">
      <w:pPr>
        <w:pStyle w:val="Paragrafi"/>
        <w:rPr>
          <w:lang w:val="de-DE"/>
        </w:rPr>
      </w:pPr>
      <w:r>
        <w:rPr>
          <w:lang w:val="de-DE"/>
        </w:rPr>
        <w:t>Në mbështetje të nenit 100 të Kushtetutës dhe të neneve 3, 5 e 17 të ligjit nr.8744, datë 22.2.2001 “Për transferimin e pronave të paluajtshme publike të shtetit në njësitë e qeverisjes vendore”, të ndryshuar, me propozimin e Ministrit të Punëve Publike, Transportit dhe Telekomunikacionit dhe të Ministrit të Brendshëm, Këshilli i Ministrave</w:t>
      </w:r>
    </w:p>
    <w:p w:rsidR="00346FAC" w:rsidRDefault="00346FAC" w:rsidP="00346FAC">
      <w:pPr>
        <w:pStyle w:val="Paragrafi"/>
        <w:rPr>
          <w:lang w:val="de-DE"/>
        </w:rPr>
      </w:pPr>
    </w:p>
    <w:p w:rsidR="00346FAC" w:rsidRPr="00346FAC" w:rsidRDefault="00346FAC" w:rsidP="00346FAC">
      <w:pPr>
        <w:pStyle w:val="VENDOSI"/>
        <w:rPr>
          <w:lang w:val="de-DE"/>
        </w:rPr>
      </w:pPr>
      <w:r w:rsidRPr="00346FAC">
        <w:rPr>
          <w:lang w:val="de-DE"/>
        </w:rPr>
        <w:t>Vendosi:</w:t>
      </w:r>
    </w:p>
    <w:p w:rsidR="00346FAC" w:rsidRDefault="00346FAC" w:rsidP="00346FAC">
      <w:pPr>
        <w:pStyle w:val="Paragrafi"/>
        <w:rPr>
          <w:lang w:val="de-DE"/>
        </w:rPr>
      </w:pPr>
    </w:p>
    <w:p w:rsidR="00346FAC" w:rsidRDefault="00346FAC" w:rsidP="00346FAC">
      <w:pPr>
        <w:pStyle w:val="Paragrafi"/>
        <w:rPr>
          <w:lang w:val="de-DE"/>
        </w:rPr>
      </w:pPr>
      <w:r>
        <w:rPr>
          <w:lang w:val="de-DE"/>
        </w:rPr>
        <w:t>1. Në vendimin nr.455, datë 16.4.2008 të Këshillit të Ministrave bëhen këto ndryshime dhe shtesa:</w:t>
      </w:r>
    </w:p>
    <w:p w:rsidR="00346FAC" w:rsidRDefault="00346FAC" w:rsidP="00346FAC">
      <w:pPr>
        <w:pStyle w:val="Paragrafi"/>
        <w:rPr>
          <w:lang w:val="de-DE"/>
        </w:rPr>
      </w:pPr>
      <w:r>
        <w:rPr>
          <w:lang w:val="de-DE"/>
        </w:rPr>
        <w:t>a) Në titull dhe në pikën 1 sipërfaqja prej “6800 (gjashtë mijë e tetëqind) m</w:t>
      </w:r>
      <w:r w:rsidRPr="00DF3F6C">
        <w:rPr>
          <w:vertAlign w:val="superscript"/>
          <w:lang w:val="de-DE"/>
        </w:rPr>
        <w:t>2</w:t>
      </w:r>
      <w:r>
        <w:rPr>
          <w:lang w:val="de-DE"/>
        </w:rPr>
        <w:t>” bëhet “7300 (shtatë mijë e treqind) m</w:t>
      </w:r>
      <w:r w:rsidRPr="00DF3F6C">
        <w:rPr>
          <w:vertAlign w:val="superscript"/>
          <w:lang w:val="de-DE"/>
        </w:rPr>
        <w:t>2</w:t>
      </w:r>
      <w:r>
        <w:rPr>
          <w:lang w:val="de-DE"/>
        </w:rPr>
        <w:t>”.</w:t>
      </w:r>
    </w:p>
    <w:p w:rsidR="00346FAC" w:rsidRDefault="00346FAC" w:rsidP="00346FAC">
      <w:pPr>
        <w:pStyle w:val="Paragrafi"/>
        <w:rPr>
          <w:lang w:val="de-DE"/>
        </w:rPr>
      </w:pPr>
      <w:r>
        <w:rPr>
          <w:lang w:val="de-DE"/>
        </w:rPr>
        <w:t>b) Në listën, që i bashkëlidhet vendimit, bëhen ndryshimet, si më poshtë vijon:</w:t>
      </w:r>
    </w:p>
    <w:p w:rsidR="00346FAC" w:rsidRDefault="00346FAC" w:rsidP="00346FAC">
      <w:pPr>
        <w:pStyle w:val="Paragrafi"/>
        <w:rPr>
          <w:lang w:val="de-DE"/>
        </w:rPr>
      </w:pPr>
      <w:r>
        <w:rPr>
          <w:lang w:val="de-DE"/>
        </w:rPr>
        <w:t>i) Numrave rendorë 3 e 4, për pronësitë nr.81/17 dhe nr.81/18, u ndryshon vendndodhja nga “Thirrë” në “Shtrungaj”.</w:t>
      </w:r>
    </w:p>
    <w:p w:rsidR="00346FAC" w:rsidRDefault="00346FAC" w:rsidP="00346FAC">
      <w:pPr>
        <w:pStyle w:val="Paragrafi"/>
        <w:rPr>
          <w:lang w:val="de-DE"/>
        </w:rPr>
      </w:pPr>
      <w:r>
        <w:rPr>
          <w:lang w:val="de-DE"/>
        </w:rPr>
        <w:t>ii) Pas numrit rendor 16 shtohet numri 16.1, me këtë përmbajtje:</w:t>
      </w:r>
    </w:p>
    <w:p w:rsidR="00346FAC" w:rsidRDefault="00346FAC" w:rsidP="00346FAC">
      <w:pPr>
        <w:pStyle w:val="Paragrafi"/>
        <w:rPr>
          <w:lang w:val="de-DE"/>
        </w:rPr>
      </w:pPr>
    </w:p>
    <w:p w:rsidR="00346FAC" w:rsidRPr="003B6255" w:rsidRDefault="00346FAC" w:rsidP="00346FAC">
      <w:pPr>
        <w:pStyle w:val="Paragrafi"/>
        <w:ind w:firstLine="0"/>
        <w:rPr>
          <w:lang w:val="de-DE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1327"/>
        <w:gridCol w:w="1327"/>
        <w:gridCol w:w="1327"/>
        <w:gridCol w:w="1327"/>
        <w:gridCol w:w="1327"/>
        <w:gridCol w:w="1326"/>
        <w:gridCol w:w="1326"/>
      </w:tblGrid>
      <w:tr w:rsidR="00346FAC">
        <w:tc>
          <w:tcPr>
            <w:tcW w:w="714" w:type="pct"/>
          </w:tcPr>
          <w:p w:rsidR="00346FAC" w:rsidRDefault="00346FAC" w:rsidP="00346FAC">
            <w:pPr>
              <w:pStyle w:val="Paragrafi"/>
              <w:rPr>
                <w:lang w:val="de-DE"/>
              </w:rPr>
            </w:pPr>
            <w:r>
              <w:rPr>
                <w:lang w:val="de-DE"/>
              </w:rPr>
              <w:t>16.1</w:t>
            </w:r>
          </w:p>
        </w:tc>
        <w:tc>
          <w:tcPr>
            <w:tcW w:w="714" w:type="pct"/>
          </w:tcPr>
          <w:p w:rsidR="00346FAC" w:rsidRDefault="00346FAC" w:rsidP="00346FAC">
            <w:pPr>
              <w:pStyle w:val="Paragrafi"/>
              <w:rPr>
                <w:lang w:val="de-DE"/>
              </w:rPr>
            </w:pPr>
            <w:r>
              <w:rPr>
                <w:lang w:val="de-DE"/>
              </w:rPr>
              <w:t>13/2</w:t>
            </w:r>
          </w:p>
        </w:tc>
        <w:tc>
          <w:tcPr>
            <w:tcW w:w="714" w:type="pct"/>
          </w:tcPr>
          <w:p w:rsidR="00346FAC" w:rsidRDefault="00346FAC" w:rsidP="00346FAC">
            <w:pPr>
              <w:pStyle w:val="Paragrafi"/>
              <w:rPr>
                <w:lang w:val="de-DE"/>
              </w:rPr>
            </w:pPr>
            <w:r>
              <w:rPr>
                <w:lang w:val="de-DE"/>
              </w:rPr>
              <w:t>500</w:t>
            </w:r>
          </w:p>
        </w:tc>
        <w:tc>
          <w:tcPr>
            <w:tcW w:w="714" w:type="pct"/>
          </w:tcPr>
          <w:p w:rsidR="00346FAC" w:rsidRDefault="00346FAC" w:rsidP="00346FAC">
            <w:pPr>
              <w:pStyle w:val="Paragrafi"/>
              <w:rPr>
                <w:lang w:val="de-DE"/>
              </w:rPr>
            </w:pPr>
            <w:r>
              <w:rPr>
                <w:lang w:val="de-DE"/>
              </w:rPr>
              <w:t>3244</w:t>
            </w:r>
          </w:p>
        </w:tc>
        <w:tc>
          <w:tcPr>
            <w:tcW w:w="714" w:type="pct"/>
          </w:tcPr>
          <w:p w:rsidR="00346FAC" w:rsidRDefault="00346FAC" w:rsidP="00346FAC">
            <w:pPr>
              <w:pStyle w:val="Paragrafi"/>
              <w:rPr>
                <w:lang w:val="de-DE"/>
              </w:rPr>
            </w:pPr>
            <w:r>
              <w:rPr>
                <w:lang w:val="de-DE"/>
              </w:rPr>
              <w:t>Rubik</w:t>
            </w:r>
          </w:p>
        </w:tc>
        <w:tc>
          <w:tcPr>
            <w:tcW w:w="714" w:type="pct"/>
          </w:tcPr>
          <w:p w:rsidR="00346FAC" w:rsidRDefault="00346FAC" w:rsidP="00346FAC">
            <w:pPr>
              <w:pStyle w:val="Paragrafi"/>
              <w:rPr>
                <w:lang w:val="de-DE"/>
              </w:rPr>
            </w:pPr>
          </w:p>
        </w:tc>
        <w:tc>
          <w:tcPr>
            <w:tcW w:w="714" w:type="pct"/>
          </w:tcPr>
          <w:p w:rsidR="00346FAC" w:rsidRDefault="00346FAC" w:rsidP="00346FAC">
            <w:pPr>
              <w:pStyle w:val="Paragrafi"/>
              <w:rPr>
                <w:lang w:val="de-DE"/>
              </w:rPr>
            </w:pPr>
            <w:r>
              <w:rPr>
                <w:lang w:val="de-DE"/>
              </w:rPr>
              <w:t>Shtet</w:t>
            </w:r>
          </w:p>
        </w:tc>
      </w:tr>
      <w:tr w:rsidR="00346FAC">
        <w:tc>
          <w:tcPr>
            <w:tcW w:w="714" w:type="pct"/>
          </w:tcPr>
          <w:p w:rsidR="00346FAC" w:rsidRDefault="00346FAC" w:rsidP="00346FAC">
            <w:pPr>
              <w:pStyle w:val="Paragrafi"/>
              <w:rPr>
                <w:lang w:val="de-DE"/>
              </w:rPr>
            </w:pPr>
          </w:p>
        </w:tc>
        <w:tc>
          <w:tcPr>
            <w:tcW w:w="714" w:type="pct"/>
          </w:tcPr>
          <w:p w:rsidR="00346FAC" w:rsidRDefault="00346FAC" w:rsidP="00346FAC">
            <w:pPr>
              <w:pStyle w:val="Paragrafi"/>
              <w:rPr>
                <w:lang w:val="de-DE"/>
              </w:rPr>
            </w:pPr>
          </w:p>
        </w:tc>
        <w:tc>
          <w:tcPr>
            <w:tcW w:w="714" w:type="pct"/>
          </w:tcPr>
          <w:p w:rsidR="00346FAC" w:rsidRDefault="00346FAC" w:rsidP="00346FAC">
            <w:pPr>
              <w:pStyle w:val="Paragrafi"/>
              <w:rPr>
                <w:lang w:val="de-DE"/>
              </w:rPr>
            </w:pPr>
            <w:r>
              <w:rPr>
                <w:lang w:val="de-DE"/>
              </w:rPr>
              <w:t>2500</w:t>
            </w:r>
          </w:p>
        </w:tc>
        <w:tc>
          <w:tcPr>
            <w:tcW w:w="714" w:type="pct"/>
          </w:tcPr>
          <w:p w:rsidR="00346FAC" w:rsidRDefault="00346FAC" w:rsidP="00346FAC">
            <w:pPr>
              <w:pStyle w:val="Paragrafi"/>
              <w:rPr>
                <w:lang w:val="de-DE"/>
              </w:rPr>
            </w:pPr>
          </w:p>
        </w:tc>
        <w:tc>
          <w:tcPr>
            <w:tcW w:w="714" w:type="pct"/>
          </w:tcPr>
          <w:p w:rsidR="00346FAC" w:rsidRDefault="00346FAC" w:rsidP="00346FAC">
            <w:pPr>
              <w:pStyle w:val="Paragrafi"/>
              <w:rPr>
                <w:lang w:val="de-DE"/>
              </w:rPr>
            </w:pPr>
          </w:p>
        </w:tc>
        <w:tc>
          <w:tcPr>
            <w:tcW w:w="714" w:type="pct"/>
          </w:tcPr>
          <w:p w:rsidR="00346FAC" w:rsidRDefault="00346FAC" w:rsidP="00346FAC">
            <w:pPr>
              <w:pStyle w:val="Paragrafi"/>
              <w:rPr>
                <w:lang w:val="de-DE"/>
              </w:rPr>
            </w:pPr>
            <w:r>
              <w:rPr>
                <w:lang w:val="de-DE"/>
              </w:rPr>
              <w:t>Rubik</w:t>
            </w:r>
          </w:p>
        </w:tc>
        <w:tc>
          <w:tcPr>
            <w:tcW w:w="714" w:type="pct"/>
          </w:tcPr>
          <w:p w:rsidR="00346FAC" w:rsidRDefault="00346FAC" w:rsidP="00346FAC">
            <w:pPr>
              <w:pStyle w:val="Paragrafi"/>
              <w:rPr>
                <w:lang w:val="de-DE"/>
              </w:rPr>
            </w:pPr>
          </w:p>
        </w:tc>
      </w:tr>
    </w:tbl>
    <w:p w:rsidR="00346FAC" w:rsidRDefault="00346FAC" w:rsidP="00346FAC">
      <w:pPr>
        <w:pStyle w:val="Paragrafi"/>
        <w:rPr>
          <w:lang w:val="de-DE"/>
        </w:rPr>
      </w:pPr>
    </w:p>
    <w:p w:rsidR="00346FAC" w:rsidRDefault="00346FAC" w:rsidP="00346FAC">
      <w:pPr>
        <w:pStyle w:val="Paragrafi"/>
        <w:rPr>
          <w:lang w:val="de-DE"/>
        </w:rPr>
      </w:pPr>
      <w:r>
        <w:rPr>
          <w:lang w:val="de-DE"/>
        </w:rPr>
        <w:t>2. Procedurat për kalimin në pronësi të bashkisë Rubik të sipërfaqes 500 (pesëqind) m</w:t>
      </w:r>
      <w:r w:rsidRPr="00970121">
        <w:rPr>
          <w:vertAlign w:val="superscript"/>
          <w:lang w:val="de-DE"/>
        </w:rPr>
        <w:t>2</w:t>
      </w:r>
      <w:r>
        <w:rPr>
          <w:lang w:val="de-DE"/>
        </w:rPr>
        <w:t>, të shtuar me këtë vendim, të përfundojë brenda 5  (pesë) ditëve nga hyrja në fuqi e këtij vendimi.</w:t>
      </w:r>
    </w:p>
    <w:p w:rsidR="00346FAC" w:rsidRDefault="00346FAC" w:rsidP="00346FAC">
      <w:pPr>
        <w:pStyle w:val="Paragrafi"/>
        <w:rPr>
          <w:lang w:val="de-DE"/>
        </w:rPr>
      </w:pPr>
      <w:r>
        <w:rPr>
          <w:lang w:val="de-DE"/>
        </w:rPr>
        <w:t>3. Ngarkohen Ministria e Brendshme, bashkia Rublik dhe zyra rajonale e regjistrimit të pasurive të paluajtshme, Mirditë, për zbatimin e këtij vendimi.</w:t>
      </w:r>
    </w:p>
    <w:p w:rsidR="00346FAC" w:rsidRDefault="00346FAC" w:rsidP="00346FAC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346FAC" w:rsidRDefault="00346FAC" w:rsidP="00346FAC">
      <w:pPr>
        <w:pStyle w:val="Paragrafi"/>
        <w:rPr>
          <w:lang w:val="de-DE"/>
        </w:rPr>
      </w:pPr>
    </w:p>
    <w:p w:rsidR="00346FAC" w:rsidRDefault="00346FAC" w:rsidP="00346FAC">
      <w:pPr>
        <w:pStyle w:val="Autoriteti"/>
      </w:pPr>
      <w:r>
        <w:t>Kryeministri</w:t>
      </w:r>
    </w:p>
    <w:p w:rsidR="00346FAC" w:rsidRDefault="00346FAC" w:rsidP="00346FAC">
      <w:pPr>
        <w:pStyle w:val="AutoritetiEmer"/>
      </w:pPr>
      <w:r>
        <w:t>Sali Berisha</w:t>
      </w:r>
    </w:p>
    <w:sectPr w:rsidR="00346FAC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46FAC"/>
    <w:rsid w:val="000178C2"/>
    <w:rsid w:val="000A780A"/>
    <w:rsid w:val="00143799"/>
    <w:rsid w:val="00211EE2"/>
    <w:rsid w:val="00215567"/>
    <w:rsid w:val="002B089D"/>
    <w:rsid w:val="00300F6E"/>
    <w:rsid w:val="003218C2"/>
    <w:rsid w:val="00346FAC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A83B03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210B244-57C4-4384-B4DF-2DD1864A2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6FAC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</w:rPr>
  </w:style>
  <w:style w:type="paragraph" w:customStyle="1" w:styleId="Char0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2019-03-16T19:41:00Z</dcterms:created>
  <dcterms:modified xsi:type="dcterms:W3CDTF">2019-03-16T19:41:00Z</dcterms:modified>
</cp:coreProperties>
</file>