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3CD" w:rsidRPr="0008028A" w:rsidRDefault="005A63CD" w:rsidP="005A63CD">
      <w:pPr>
        <w:pStyle w:val="Akti"/>
      </w:pPr>
      <w:bookmarkStart w:id="0" w:name="_GoBack"/>
      <w:bookmarkEnd w:id="0"/>
      <w:r w:rsidRPr="0008028A">
        <w:t>VENDIM</w:t>
      </w:r>
    </w:p>
    <w:p w:rsidR="005A63CD" w:rsidRPr="0008028A" w:rsidRDefault="005A63CD" w:rsidP="005A63CD">
      <w:pPr>
        <w:pStyle w:val="NumriData"/>
      </w:pPr>
      <w:r w:rsidRPr="0008028A">
        <w:t>Nr.1716, dat</w:t>
      </w:r>
      <w:r>
        <w:t>ë</w:t>
      </w:r>
      <w:r w:rsidRPr="0008028A">
        <w:t xml:space="preserve"> 3.10.2008</w:t>
      </w:r>
    </w:p>
    <w:p w:rsidR="005A63CD" w:rsidRPr="0008028A" w:rsidRDefault="005A63CD" w:rsidP="005A63CD">
      <w:pPr>
        <w:pStyle w:val="Titulli0"/>
      </w:pPr>
    </w:p>
    <w:p w:rsidR="005A63CD" w:rsidRDefault="005A63CD" w:rsidP="005A63CD">
      <w:pPr>
        <w:pStyle w:val="Titulli0"/>
      </w:pPr>
      <w:r w:rsidRPr="0008028A">
        <w:t>P</w:t>
      </w:r>
      <w:r>
        <w:t>Ë</w:t>
      </w:r>
      <w:r w:rsidRPr="0008028A">
        <w:t>R M</w:t>
      </w:r>
      <w:r>
        <w:t>Ë</w:t>
      </w:r>
      <w:r w:rsidRPr="0008028A">
        <w:t>NYR</w:t>
      </w:r>
      <w:r>
        <w:t>Ë</w:t>
      </w:r>
      <w:r w:rsidRPr="0008028A">
        <w:t>N E ORGANIZIMIT DHE T</w:t>
      </w:r>
      <w:r>
        <w:t>Ë</w:t>
      </w:r>
      <w:r w:rsidRPr="0008028A">
        <w:t xml:space="preserve"> FUNKSIONIMIT T</w:t>
      </w:r>
      <w:r>
        <w:t>Ë</w:t>
      </w:r>
      <w:r w:rsidRPr="0008028A">
        <w:t xml:space="preserve"> DREJTORIS</w:t>
      </w:r>
      <w:r>
        <w:t>Ë</w:t>
      </w:r>
      <w:r w:rsidRPr="0008028A">
        <w:t xml:space="preserve"> S</w:t>
      </w:r>
      <w:r>
        <w:t>Ë</w:t>
      </w:r>
      <w:r w:rsidRPr="0008028A">
        <w:t xml:space="preserve"> P</w:t>
      </w:r>
      <w:r>
        <w:t>Ë</w:t>
      </w:r>
      <w:r w:rsidRPr="0008028A">
        <w:t>RGJITHSHME T</w:t>
      </w:r>
      <w:r>
        <w:t>Ë</w:t>
      </w:r>
      <w:r w:rsidRPr="0008028A">
        <w:t xml:space="preserve"> AKREDITIMIT</w:t>
      </w:r>
    </w:p>
    <w:p w:rsidR="005A63CD" w:rsidRDefault="005A63CD" w:rsidP="005A63CD">
      <w:pPr>
        <w:pStyle w:val="Titulli0"/>
      </w:pPr>
    </w:p>
    <w:p w:rsidR="005A63CD" w:rsidRDefault="005A63CD" w:rsidP="005A63CD">
      <w:pPr>
        <w:pStyle w:val="Paragrafi0"/>
      </w:pPr>
      <w:r>
        <w:t>Në mbështetje të nenit 100 të Kushtetutës dhe të nenit 3 të ligjit nr.9824, datë 1.11.2007 “Për akreditimin e organizmave të vlerësimit të konformitetit në Republikën e Shqipërisë”, me propozimin e Ministrit të Ekonomisë, Tregtisë dhe Energjetikës, Këshilli i Ministrave</w:t>
      </w:r>
    </w:p>
    <w:p w:rsidR="005A63CD" w:rsidRDefault="005A63CD" w:rsidP="005A63CD">
      <w:pPr>
        <w:pStyle w:val="Paragrafi0"/>
      </w:pPr>
    </w:p>
    <w:p w:rsidR="005A63CD" w:rsidRDefault="005A63CD" w:rsidP="005A63CD">
      <w:pPr>
        <w:pStyle w:val="VENDOSI0"/>
      </w:pPr>
      <w:r>
        <w:t>VENDOSI:</w:t>
      </w:r>
    </w:p>
    <w:p w:rsidR="005A63CD" w:rsidRDefault="005A63CD" w:rsidP="005A63CD">
      <w:pPr>
        <w:pStyle w:val="Paragrafi0"/>
      </w:pPr>
    </w:p>
    <w:p w:rsidR="005A63CD" w:rsidRDefault="005A63CD" w:rsidP="005A63CD">
      <w:pPr>
        <w:pStyle w:val="Paragrafi0"/>
      </w:pPr>
      <w:r>
        <w:t>1. Drejtoria e Përgjithshme e Akreditimit (DPA) menaxhon sistemin e akreditimit të organizmave të vlerësimit të konformitetit, në sferën e detyrueshme dhe atë vullnetare, në Republikën e Shqipërisë.</w:t>
      </w:r>
    </w:p>
    <w:p w:rsidR="005A63CD" w:rsidRDefault="005A63CD" w:rsidP="005A63CD">
      <w:pPr>
        <w:pStyle w:val="Paragrafi0"/>
      </w:pPr>
      <w:r>
        <w:t>2. DPA-ja nuk kryen shërbime këshillimi për organizmat e vlerësimit të konformitetit.</w:t>
      </w:r>
    </w:p>
    <w:p w:rsidR="005A63CD" w:rsidRDefault="005A63CD" w:rsidP="005A63CD">
      <w:pPr>
        <w:pStyle w:val="Paragrafi0"/>
      </w:pPr>
      <w:r>
        <w:t>3. Drejtoria e Përgjithshme e Akreditimit bashkëpunon me ministritë për përgatitjen e rregullave teknike, për të siguruar respektimin e parimeve të akreditimit.</w:t>
      </w:r>
    </w:p>
    <w:p w:rsidR="005A63CD" w:rsidRDefault="005A63CD" w:rsidP="005A63CD">
      <w:pPr>
        <w:pStyle w:val="Paragrafi0"/>
      </w:pPr>
      <w:r>
        <w:t>4. Ministri, që mbulon ekonominë dhe tregtinë, miraton rregulloren e brendshme të DPA-së.</w:t>
      </w:r>
    </w:p>
    <w:p w:rsidR="005A63CD" w:rsidRDefault="005A63CD" w:rsidP="005A63CD">
      <w:pPr>
        <w:pStyle w:val="Paragrafi0"/>
      </w:pPr>
    </w:p>
    <w:p w:rsidR="005A63CD" w:rsidRDefault="005A63CD" w:rsidP="005A63CD">
      <w:pPr>
        <w:pStyle w:val="Paragrafi0"/>
      </w:pPr>
    </w:p>
    <w:p w:rsidR="005A63CD" w:rsidRDefault="005A63CD" w:rsidP="005A63CD">
      <w:pPr>
        <w:pStyle w:val="Paragrafi0"/>
      </w:pPr>
      <w:r w:rsidRPr="002C2631">
        <w:t>5.</w:t>
      </w:r>
      <w:r>
        <w:t xml:space="preserve"> </w:t>
      </w:r>
      <w:r w:rsidRPr="002C2631">
        <w:t>Pran</w:t>
      </w:r>
      <w:r>
        <w:t>ë</w:t>
      </w:r>
      <w:r w:rsidRPr="002C2631">
        <w:t xml:space="preserve"> DPA-s</w:t>
      </w:r>
      <w:r>
        <w:t>ë</w:t>
      </w:r>
      <w:r w:rsidRPr="002C2631">
        <w:t xml:space="preserve"> krijohet bordi k</w:t>
      </w:r>
      <w:r>
        <w:t>ë</w:t>
      </w:r>
      <w:r w:rsidRPr="002C2631">
        <w:t>shillimor i akreditimit, i cili mb</w:t>
      </w:r>
      <w:r>
        <w:t>ështet DPA-në</w:t>
      </w:r>
      <w:r w:rsidRPr="002C2631">
        <w:t xml:space="preserve"> p</w:t>
      </w:r>
      <w:r>
        <w:t>ë</w:t>
      </w:r>
      <w:r w:rsidRPr="002C2631">
        <w:t>r realizimin e detyrave. Numri i an</w:t>
      </w:r>
      <w:r>
        <w:t>ë</w:t>
      </w:r>
      <w:r w:rsidRPr="002C2631">
        <w:t>tar</w:t>
      </w:r>
      <w:r>
        <w:t>ë</w:t>
      </w:r>
      <w:r w:rsidRPr="002C2631">
        <w:t>ve t</w:t>
      </w:r>
      <w:r>
        <w:t>ë</w:t>
      </w:r>
      <w:r w:rsidRPr="002C2631">
        <w:t xml:space="preserve"> bordit </w:t>
      </w:r>
      <w:r>
        <w:t>ë</w:t>
      </w:r>
      <w:r w:rsidRPr="002C2631">
        <w:t>sht</w:t>
      </w:r>
      <w:r>
        <w:t>ë 16 vetë</w:t>
      </w:r>
      <w:r w:rsidRPr="002C2631">
        <w:t>. P</w:t>
      </w:r>
      <w:r>
        <w:t>ë</w:t>
      </w:r>
      <w:r w:rsidRPr="002C2631">
        <w:t>rfaq</w:t>
      </w:r>
      <w:r>
        <w:t>ë</w:t>
      </w:r>
      <w:r w:rsidRPr="002C2631">
        <w:t>simi i an</w:t>
      </w:r>
      <w:r>
        <w:t>ë</w:t>
      </w:r>
      <w:r w:rsidRPr="002C2631">
        <w:t>tar</w:t>
      </w:r>
      <w:r>
        <w:t>ë</w:t>
      </w:r>
      <w:r w:rsidRPr="002C2631">
        <w:t>ve t</w:t>
      </w:r>
      <w:r>
        <w:t>ë</w:t>
      </w:r>
      <w:r w:rsidRPr="002C2631">
        <w:t xml:space="preserve"> bordit </w:t>
      </w:r>
      <w:r>
        <w:t>ë</w:t>
      </w:r>
      <w:r w:rsidRPr="002C2631">
        <w:t>sht</w:t>
      </w:r>
      <w:r>
        <w:t>ë</w:t>
      </w:r>
      <w:r w:rsidRPr="002C2631">
        <w:t xml:space="preserve"> i balancuar dhe me pjes</w:t>
      </w:r>
      <w:r>
        <w:t>ë</w:t>
      </w:r>
      <w:r w:rsidRPr="002C2631">
        <w:t>marrjen e t</w:t>
      </w:r>
      <w:r>
        <w:t>ë</w:t>
      </w:r>
      <w:r w:rsidRPr="002C2631">
        <w:t xml:space="preserve"> gjitha pal</w:t>
      </w:r>
      <w:r>
        <w:t>ë</w:t>
      </w:r>
      <w:r w:rsidRPr="002C2631">
        <w:t>ve t</w:t>
      </w:r>
      <w:r>
        <w:t>ë</w:t>
      </w:r>
      <w:r w:rsidRPr="002C2631">
        <w:t xml:space="preserve"> interesuara. 6 p</w:t>
      </w:r>
      <w:r>
        <w:t>ë</w:t>
      </w:r>
      <w:r w:rsidRPr="002C2631">
        <w:t>rfaq</w:t>
      </w:r>
      <w:r>
        <w:t>ë</w:t>
      </w:r>
      <w:r w:rsidRPr="002C2631">
        <w:t>sues t</w:t>
      </w:r>
      <w:r>
        <w:t>ë</w:t>
      </w:r>
      <w:r w:rsidRPr="002C2631">
        <w:t xml:space="preserve"> bordit zgjidhen nga ministrit</w:t>
      </w:r>
      <w:r>
        <w:t>ë</w:t>
      </w:r>
      <w:r w:rsidRPr="002C2631">
        <w:t xml:space="preserve"> p</w:t>
      </w:r>
      <w:r>
        <w:t>ë</w:t>
      </w:r>
      <w:r w:rsidRPr="002C2631">
        <w:t>rgjegj</w:t>
      </w:r>
      <w:r>
        <w:t>ë</w:t>
      </w:r>
      <w:r w:rsidRPr="002C2631">
        <w:t>se p</w:t>
      </w:r>
      <w:r>
        <w:t>ë</w:t>
      </w:r>
      <w:r w:rsidRPr="002C2631">
        <w:t>r ekonomin</w:t>
      </w:r>
      <w:r>
        <w:t>ë</w:t>
      </w:r>
      <w:r w:rsidRPr="002C2631">
        <w:t xml:space="preserve"> e tregtin</w:t>
      </w:r>
      <w:r>
        <w:t>ë</w:t>
      </w:r>
      <w:r w:rsidRPr="002C2631">
        <w:t>, bujq</w:t>
      </w:r>
      <w:r>
        <w:t>ë</w:t>
      </w:r>
      <w:r w:rsidRPr="002C2631">
        <w:t>sin</w:t>
      </w:r>
      <w:r>
        <w:t>ë</w:t>
      </w:r>
      <w:r w:rsidRPr="002C2631">
        <w:t xml:space="preserve"> e ushqimin, ç</w:t>
      </w:r>
      <w:r>
        <w:t>ë</w:t>
      </w:r>
      <w:r w:rsidRPr="002C2631">
        <w:t>shtjet e mjedisit, nd</w:t>
      </w:r>
      <w:r>
        <w:t>ë</w:t>
      </w:r>
      <w:r w:rsidRPr="002C2631">
        <w:t>rtimin e transportin, sigurin</w:t>
      </w:r>
      <w:r>
        <w:t>ë</w:t>
      </w:r>
      <w:r w:rsidRPr="002C2631">
        <w:t xml:space="preserve"> e sh</w:t>
      </w:r>
      <w:r>
        <w:t>ë</w:t>
      </w:r>
      <w:r w:rsidRPr="002C2631">
        <w:t>ndetit dhe t</w:t>
      </w:r>
      <w:r>
        <w:t>ë</w:t>
      </w:r>
      <w:r w:rsidRPr="002C2631">
        <w:t xml:space="preserve"> jet</w:t>
      </w:r>
      <w:r>
        <w:t>ë</w:t>
      </w:r>
      <w:r w:rsidRPr="002C2631">
        <w:t>s n</w:t>
      </w:r>
      <w:r>
        <w:t>ë</w:t>
      </w:r>
      <w:r w:rsidRPr="002C2631">
        <w:t xml:space="preserve"> pun</w:t>
      </w:r>
      <w:r>
        <w:t>ë</w:t>
      </w:r>
      <w:r w:rsidRPr="002C2631">
        <w:t>. 2 p</w:t>
      </w:r>
      <w:r>
        <w:t>ë</w:t>
      </w:r>
      <w:r w:rsidRPr="002C2631">
        <w:t>rfaq</w:t>
      </w:r>
      <w:r>
        <w:t>ë</w:t>
      </w:r>
      <w:r w:rsidRPr="002C2631">
        <w:t>sues zgjidhen nga shoqatat profesionale t</w:t>
      </w:r>
      <w:r>
        <w:t>ë</w:t>
      </w:r>
      <w:r w:rsidRPr="002C2631">
        <w:t xml:space="preserve"> laborator</w:t>
      </w:r>
      <w:r>
        <w:t>ë</w:t>
      </w:r>
      <w:r w:rsidRPr="002C2631">
        <w:t>ve testues dhe kalibrues</w:t>
      </w:r>
      <w:r>
        <w:t>, 1 përfaqësues i standardeve, 1 përfaqësues nga organizimi i metrologjisë, 2 përfaqësues nga organizatat e biznesit, 2 përfaqësues nga shoqatat e mbrojtjes së konsumatorëve, 2 përfaqësues nga institucionet shkencore.</w:t>
      </w:r>
    </w:p>
    <w:p w:rsidR="005A63CD" w:rsidRDefault="005A63CD" w:rsidP="005A63CD">
      <w:pPr>
        <w:pStyle w:val="Paragrafi0"/>
      </w:pPr>
      <w:r>
        <w:t>Rregullorja e funksionimit të bordit këshillimor të akreditimit, kriteret për përzgjedhjen e anëtarëve të bordit dhe miratimi i tyre për një periudhë trivjeçare miratohen nga ministri, që mbulon ekonominë dhe tregtinë.</w:t>
      </w:r>
    </w:p>
    <w:p w:rsidR="005A63CD" w:rsidRDefault="005A63CD" w:rsidP="005A63CD">
      <w:pPr>
        <w:pStyle w:val="Paragrafi0"/>
      </w:pPr>
      <w:r>
        <w:t>6. Anëtarët e bordit shpërblehen me 5000 lekë për çdo pjesëmarrje në mbledhje. Bordi mblidhet një herë në tre muaj.</w:t>
      </w:r>
    </w:p>
    <w:p w:rsidR="005A63CD" w:rsidRDefault="005A63CD" w:rsidP="005A63CD">
      <w:pPr>
        <w:pStyle w:val="Paragrafi0"/>
      </w:pPr>
      <w:r>
        <w:t xml:space="preserve">7. Për nevojat e DPA-së krijohen komitete teknike, </w:t>
      </w:r>
      <w:r w:rsidRPr="00CF44D0">
        <w:rPr>
          <w:i/>
        </w:rPr>
        <w:t>ad-hoc</w:t>
      </w:r>
      <w:r>
        <w:t xml:space="preserve"> ose të përhershme, të përbëra nga specialistë të fushave të caktuara, të cilët hartojnë kërkesat e veçanta për akreditimin në fushën përkatëse. Komitetet teknike funksionojnë në bazë të rregulloreve, të miratuara nga drejtori i përgjithshëm.</w:t>
      </w:r>
    </w:p>
    <w:p w:rsidR="005A63CD" w:rsidRDefault="005A63CD" w:rsidP="005A63CD">
      <w:pPr>
        <w:pStyle w:val="Paragrafi0"/>
      </w:pPr>
      <w:r>
        <w:t>8. Anëtarët e komiteteve teknike miratohen nga drejtori i përgjithshëm i DPA-së, në bazë të kritereve të përcaktuara në rregullore. Shpërblimi i tyre përcaktohet nga Ministri i Financave, me propozimin e ministrit, që mbulon ekonominë dhe tregtinë.</w:t>
      </w:r>
    </w:p>
    <w:p w:rsidR="005A63CD" w:rsidRDefault="005A63CD" w:rsidP="005A63CD">
      <w:pPr>
        <w:pStyle w:val="Paragrafi0"/>
      </w:pPr>
      <w:r>
        <w:t>9. Detyrat kryesore të DPA-së janë:</w:t>
      </w:r>
    </w:p>
    <w:p w:rsidR="005A63CD" w:rsidRDefault="005A63CD" w:rsidP="005A63CD">
      <w:pPr>
        <w:pStyle w:val="Paragrafi0"/>
      </w:pPr>
      <w:r>
        <w:t>a) Informon ministrinë, që mbulon ekonominë dhe tregtinë, dhe palët e interesuara për veprimtarinë, që kryen në fushën e akreditimit.</w:t>
      </w:r>
    </w:p>
    <w:p w:rsidR="005A63CD" w:rsidRDefault="005A63CD" w:rsidP="005A63CD">
      <w:pPr>
        <w:pStyle w:val="Paragrafi0"/>
      </w:pPr>
      <w:r>
        <w:t>b) Informon organizmat e huaj të akreditimit për veprimtarinë në fushën e vlerësimit të konformitetit, për të cilën ka kryer akreditime, dhe për ndryshimet e mundshme.</w:t>
      </w:r>
    </w:p>
    <w:p w:rsidR="005A63CD" w:rsidRDefault="005A63CD" w:rsidP="005A63CD">
      <w:pPr>
        <w:pStyle w:val="Paragrafi0"/>
      </w:pPr>
      <w:r>
        <w:t>c) Informon ministrinë, që mbulon ekonominë dhe tregtinë, dhe autoritetet e tjera rregullatore, që kanë lidhje me akreditimin, për qëllimin dhe funksionimin e procesit të vlerësimit të ndërsjellë.</w:t>
      </w:r>
    </w:p>
    <w:p w:rsidR="005A63CD" w:rsidRDefault="005A63CD" w:rsidP="005A63CD">
      <w:pPr>
        <w:pStyle w:val="Paragrafi0"/>
      </w:pPr>
      <w:r>
        <w:t>ç) Publikon rezultatet e vlerësimit të ndërsjellë, me fushën e akreditimit, që mbulohet prej saj, dhe ndryshimet e mundshme në to.</w:t>
      </w:r>
    </w:p>
    <w:p w:rsidR="005A63CD" w:rsidRDefault="005A63CD" w:rsidP="005A63CD">
      <w:pPr>
        <w:pStyle w:val="Paragrafi0"/>
      </w:pPr>
      <w:r>
        <w:t>d) Informon të gjitha palët e interesuara për parimet, kriteret, procedurat, tarifat e akreditimit dhe organizmat e akredituar në Republikën e Shqipërisë.</w:t>
      </w:r>
    </w:p>
    <w:p w:rsidR="005A63CD" w:rsidRDefault="005A63CD" w:rsidP="005A63CD">
      <w:pPr>
        <w:pStyle w:val="Paragrafi0"/>
      </w:pPr>
      <w:r>
        <w:t>dh) Mbron dhe përfaqëson interesat e Republikës së Shqipërisë në organizmat akreditues të huaj dhe organizatat europiane e ndërkombëtare, të cilat trajtojnë kompetencën e organizmave të akreditimit dhe të organizmave të vlerësimit të konformitetit.</w:t>
      </w:r>
    </w:p>
    <w:p w:rsidR="005A63CD" w:rsidRDefault="005A63CD" w:rsidP="005A63CD">
      <w:pPr>
        <w:pStyle w:val="Paragrafi0"/>
      </w:pPr>
      <w:r>
        <w:lastRenderedPageBreak/>
        <w:t>10. Ministria, që mbulon ekonominë dhe tregtinë, mbështet DPA-në në anëtarësimin e saj në strukturat e Organizatës Europiane për Akreditimin (EA) dhe të organizmave ndërkombëtarë të akreditimit.</w:t>
      </w:r>
    </w:p>
    <w:p w:rsidR="005A63CD" w:rsidRDefault="005A63CD" w:rsidP="005A63CD">
      <w:pPr>
        <w:pStyle w:val="Paragrafi0"/>
      </w:pPr>
      <w:r>
        <w:t>11. DPA-ja merr pjesë në veprimtarinë e organizatave europiane dhe ndërkombëtare të akreditimit, si dhe në veprimtaritë e organizmave europianë, të organeve të autorizuara.</w:t>
      </w:r>
    </w:p>
    <w:p w:rsidR="005A63CD" w:rsidRDefault="005A63CD" w:rsidP="005A63CD">
      <w:pPr>
        <w:pStyle w:val="Paragrafi0"/>
      </w:pPr>
      <w:r>
        <w:t>12. DPA-ja bashkëpunon me institucionet publike dhe subjektet private, vendase ose të huaja, në mbështetje të veprimtarisë së saj.</w:t>
      </w:r>
    </w:p>
    <w:p w:rsidR="005A63CD" w:rsidRDefault="005A63CD" w:rsidP="005A63CD">
      <w:pPr>
        <w:pStyle w:val="Paragrafi0"/>
      </w:pPr>
      <w:r>
        <w:t>13. DPA-ja informon EA-në dhe anëtarët e saj për hartimin e legjislacionit të ri, në fushën e akreditimit ose që kanë lidhje me akreditimin, në Shqipëri.</w:t>
      </w:r>
    </w:p>
    <w:p w:rsidR="005A63CD" w:rsidRDefault="005A63CD" w:rsidP="005A63CD">
      <w:pPr>
        <w:pStyle w:val="Paragrafi0"/>
      </w:pPr>
      <w:r>
        <w:t>14. DPA-ja informon organet përgjegjëse të dhënies së autorizimit apo regjistrimit për dokumentet më të fundit, të publikuara në nivel europian, që kanë lidhje me akreditimin.</w:t>
      </w:r>
    </w:p>
    <w:p w:rsidR="005A63CD" w:rsidRDefault="005A63CD" w:rsidP="005A63CD">
      <w:pPr>
        <w:pStyle w:val="Paragrafi0"/>
      </w:pPr>
      <w:r>
        <w:t>15. DPA-ja, gjatë kryerjes së funksioneve:</w:t>
      </w:r>
    </w:p>
    <w:p w:rsidR="005A63CD" w:rsidRDefault="005A63CD" w:rsidP="005A63CD">
      <w:pPr>
        <w:pStyle w:val="Paragrafi0"/>
      </w:pPr>
      <w:r>
        <w:t>a) siguron pavarësinë nga organizmat e vlerësimit të konformitetit, që ajo vlerëson, nga presionet tregtare dhe që të mos ketë konflikte interesi;</w:t>
      </w:r>
    </w:p>
    <w:p w:rsidR="005A63CD" w:rsidRDefault="005A63CD" w:rsidP="005A63CD">
      <w:pPr>
        <w:pStyle w:val="Paragrafi0"/>
      </w:pPr>
      <w:r>
        <w:t>b) dokumenton detyrat, përgjegjësitë dhe autoritetin e personelit, i cili ndikon në cilësinë e vlerësimit dhe të dëshmisë së kompetencës së organizmave të vlerësimt të konformitetit;</w:t>
      </w:r>
    </w:p>
    <w:p w:rsidR="005A63CD" w:rsidRDefault="005A63CD" w:rsidP="005A63CD">
      <w:pPr>
        <w:pStyle w:val="Paragrafi0"/>
      </w:pPr>
      <w:r>
        <w:t>c) ruan objektivitetin, transparencën, paanshmërinë, zbaton procedura jodiskriminuese dhe siguron fshehtësinë e informacionit të marrë;</w:t>
      </w:r>
    </w:p>
    <w:p w:rsidR="005A63CD" w:rsidRDefault="005A63CD" w:rsidP="005A63CD">
      <w:pPr>
        <w:pStyle w:val="Paragrafi0"/>
      </w:pPr>
      <w:r>
        <w:t>ç) siguron që çdo vendim për dhënien e akreditimit bëhet nga persona kompetentë, të ndryshëm nga ata, që kanë bërë vlerësimin;</w:t>
      </w:r>
    </w:p>
    <w:p w:rsidR="005A63CD" w:rsidRDefault="005A63CD" w:rsidP="005A63CD">
      <w:pPr>
        <w:pStyle w:val="Paragrafi0"/>
      </w:pPr>
      <w:r>
        <w:t>d) identifikon veprimtarinë për vlerësim konformiteti, për të cilën ajo është kompetente për kryerjen e akreditimit;</w:t>
      </w:r>
    </w:p>
    <w:p w:rsidR="005A63CD" w:rsidRDefault="005A63CD" w:rsidP="005A63CD">
      <w:pPr>
        <w:pStyle w:val="Paragrafi0"/>
      </w:pPr>
      <w:r>
        <w:t>dh) harton procedurat e nevojshme, për të siguruar një menaxhim të efektshëm dhe kontrolle të brendshme;</w:t>
      </w:r>
    </w:p>
    <w:p w:rsidR="005A63CD" w:rsidRDefault="005A63CD" w:rsidP="005A63CD">
      <w:pPr>
        <w:pStyle w:val="Paragrafi0"/>
      </w:pPr>
      <w:r>
        <w:t>e)  mbledh personel, të mjaftueshëm e të aftë, për plotësimin e detyrave;</w:t>
      </w:r>
    </w:p>
    <w:p w:rsidR="005A63CD" w:rsidRDefault="005A63CD" w:rsidP="005A63CD">
      <w:pPr>
        <w:pStyle w:val="Paragrafi0"/>
      </w:pPr>
      <w:r>
        <w:t>ë) përcakton procedurat e nevojshme për të kontrolluar aftësinë dhe rezultatet e punës së personelit të saj.</w:t>
      </w:r>
    </w:p>
    <w:p w:rsidR="005A63CD" w:rsidRDefault="005A63CD" w:rsidP="005A63CD">
      <w:pPr>
        <w:pStyle w:val="Paragrafi0"/>
      </w:pPr>
      <w:r>
        <w:t>16. Nëse DPA-ja plotëson kërkesat e standardit SSH EN ISOP/IEC 17011, prezumohen të plotësuara kërkesat e mësipërme.</w:t>
      </w:r>
    </w:p>
    <w:p w:rsidR="005A63CD" w:rsidRDefault="005A63CD" w:rsidP="005A63CD">
      <w:pPr>
        <w:pStyle w:val="Paragrafi0"/>
      </w:pPr>
      <w:r>
        <w:t>17. Ministria njeh misionin dhe sistemin e vlerësimit të ndërsjellë të EA-së, dhe e pranon si të barasvlefshëm vlerësimin e kryer nga EA-ja me vlerësimin e vet.</w:t>
      </w:r>
    </w:p>
    <w:p w:rsidR="005A63CD" w:rsidRDefault="005A63CD" w:rsidP="005A63CD">
      <w:pPr>
        <w:pStyle w:val="Paragrafi0"/>
      </w:pPr>
      <w:r>
        <w:t>18. DPA-ja mirëmban një sistem të brendshëm të vlerësimit të ndërsjellë, korrekt dhe transparent, i cili i nënshtrohet, në mënyrë të rregullt, vlerësimit të ndërsjellë nga EA-ja.</w:t>
      </w:r>
    </w:p>
    <w:p w:rsidR="005A63CD" w:rsidRDefault="005A63CD" w:rsidP="005A63CD">
      <w:pPr>
        <w:pStyle w:val="Paragrafi0"/>
      </w:pPr>
      <w:r>
        <w:t>19. DPA-ja akrediton subjektet juridike të interesuara, private dhe publike, vendase apo të huaja.</w:t>
      </w:r>
    </w:p>
    <w:p w:rsidR="005A63CD" w:rsidRDefault="005A63CD" w:rsidP="005A63CD">
      <w:pPr>
        <w:pStyle w:val="Paragrafi0"/>
      </w:pPr>
      <w:r>
        <w:t>20. Subjekte juridike që mund të akreditohen janë:</w:t>
      </w:r>
    </w:p>
    <w:p w:rsidR="005A63CD" w:rsidRDefault="005A63CD" w:rsidP="005A63CD">
      <w:pPr>
        <w:pStyle w:val="Paragrafi0"/>
      </w:pPr>
      <w:r>
        <w:t>a) Organizmat e vlerësimit të konformitetit, që janë të pavarur ose në varësi të subjekteve të regjistruara në regjistrin tregtar të Republikës së Shqipërisë, që e kanë selinë në Shqipëri.</w:t>
      </w:r>
    </w:p>
    <w:p w:rsidR="005A63CD" w:rsidRDefault="005A63CD" w:rsidP="005A63CD">
      <w:pPr>
        <w:pStyle w:val="Paragrafi0"/>
      </w:pPr>
      <w:r>
        <w:t>b) Organizmat shqiptarë, publikë të vlerësimit të konformitetit.</w:t>
      </w:r>
    </w:p>
    <w:p w:rsidR="005A63CD" w:rsidRDefault="005A63CD" w:rsidP="005A63CD">
      <w:pPr>
        <w:pStyle w:val="Paragrafi0"/>
      </w:pPr>
      <w:r>
        <w:t>c) Organizmat e vlerësimit të konformitetit, që varen nga organizma të regjistruar jashtë, të cilët kanë seli zyrtare të tyre në Shqipëri e që janë regjistruar në regjistrin tregtar të Republikës së Shqipërisë.</w:t>
      </w:r>
    </w:p>
    <w:p w:rsidR="005A63CD" w:rsidRDefault="005A63CD" w:rsidP="005A63CD">
      <w:pPr>
        <w:pStyle w:val="Paragrafi0"/>
      </w:pPr>
      <w:r>
        <w:t>ç) Organizmat e huaj të vlerësimit të konformitetit, të regjistruar jashtë territorit të Republikës së Shqipërisë.</w:t>
      </w:r>
    </w:p>
    <w:p w:rsidR="005A63CD" w:rsidRDefault="005A63CD" w:rsidP="005A63CD">
      <w:pPr>
        <w:pStyle w:val="Paragrafi0"/>
      </w:pPr>
      <w:r>
        <w:t xml:space="preserve">21. Një organizëm vlerësimi konformiteti </w:t>
      </w:r>
      <w:smartTag w:uri="urn:schemas-microsoft-com:office:smarttags" w:element="place">
        <w:smartTag w:uri="urn:schemas-microsoft-com:office:smarttags" w:element="country-region">
          <w:r>
            <w:t>vendas</w:t>
          </w:r>
        </w:smartTag>
      </w:smartTag>
      <w:r>
        <w:t xml:space="preserve"> mund të kërkojë akreditim nga një organizëm akreditues i huaj vetëm nëse:</w:t>
      </w:r>
    </w:p>
    <w:p w:rsidR="005A63CD" w:rsidRDefault="005A63CD" w:rsidP="005A63CD">
      <w:pPr>
        <w:pStyle w:val="Paragrafi0"/>
      </w:pPr>
      <w:r>
        <w:t>a) DPA-ja nuk ofron akreditim për fushën, ku organizmi i vlerësimit të konformitetit dëshiron të akreditohet.</w:t>
      </w:r>
    </w:p>
    <w:p w:rsidR="005A63CD" w:rsidRDefault="005A63CD" w:rsidP="005A63CD">
      <w:pPr>
        <w:pStyle w:val="Paragrafi0"/>
      </w:pPr>
      <w:r>
        <w:t>b) DPA-ja nuk ka kryer vlerësim të ndërsjellë ose nuk ka nënshkruar marrëveshje të njohjes së ndërsjellë, në fushën ku organizmi i vlerësimit të konformitetit kërkon të akreditohet.</w:t>
      </w:r>
    </w:p>
    <w:p w:rsidR="005A63CD" w:rsidRDefault="005A63CD" w:rsidP="005A63CD">
      <w:pPr>
        <w:pStyle w:val="Paragrafi0"/>
      </w:pPr>
      <w:r>
        <w:t>c) Organizmi i vlerësimit të konformitetit, për arsye biznesi apo tregtare, parapëlqen akreditim nga një organizëm tjetër akreditimi.</w:t>
      </w:r>
    </w:p>
    <w:p w:rsidR="005A63CD" w:rsidRDefault="005A63CD" w:rsidP="005A63CD">
      <w:pPr>
        <w:pStyle w:val="Paragrafi0"/>
      </w:pPr>
      <w:r>
        <w:t>ç) Një klient i rëndësishëm i organizmit të vlerësimit të konformitetit kërkon akreditim nga një organizëm akreditimi, i përcaktuar.</w:t>
      </w:r>
    </w:p>
    <w:p w:rsidR="005A63CD" w:rsidRDefault="005A63CD" w:rsidP="005A63CD">
      <w:pPr>
        <w:pStyle w:val="Paragrafi0"/>
      </w:pPr>
      <w:r>
        <w:t xml:space="preserve">d) Organizmi i vlerësimit të konformitetit është një nga degët e një shoqërie të huaj, e cili </w:t>
      </w:r>
      <w:r>
        <w:lastRenderedPageBreak/>
        <w:t>dëshiron që të gjitha degët e veta të jenë të akredituara nga i njëjti organizëm akreditues.</w:t>
      </w:r>
    </w:p>
    <w:p w:rsidR="005A63CD" w:rsidRDefault="005A63CD" w:rsidP="005A63CD">
      <w:pPr>
        <w:pStyle w:val="Paragrafi0"/>
      </w:pPr>
      <w:r>
        <w:t>22. Organizmat e vlerësimit të konformitetit, të regjistruar në Shqipëri dhe të akredituar nga organizma akreditues të huaj, informojnë DPA-në për statusin e tyre të akreditimit.</w:t>
      </w:r>
    </w:p>
    <w:p w:rsidR="005A63CD" w:rsidRDefault="005A63CD" w:rsidP="005A63CD">
      <w:pPr>
        <w:pStyle w:val="Paragrafi0"/>
      </w:pPr>
      <w:r>
        <w:t>23. DPA-ja ka të drejtë të kërkojë nga një organizëm akreditues i huaj të kryejë një pjesë të vlerësimit për të. Në këtë rast ajo ka përgjegjësinë për marrjen e vendimit dhe lëshimin e certifikatës.</w:t>
      </w:r>
    </w:p>
    <w:p w:rsidR="005A63CD" w:rsidRDefault="005A63CD" w:rsidP="005A63CD">
      <w:pPr>
        <w:pStyle w:val="Paragrafi0"/>
      </w:pPr>
      <w:r>
        <w:t>24. DPA-ja ka të drejtë të kryejë akreditime të përbashkëta me organizma akreditues të huaj.</w:t>
      </w:r>
    </w:p>
    <w:p w:rsidR="005A63CD" w:rsidRDefault="005A63CD" w:rsidP="005A63CD">
      <w:pPr>
        <w:pStyle w:val="Paragrafi0"/>
      </w:pPr>
      <w:r>
        <w:t>25. Akreditimet, e kryera nga organizma akreditues të huaj, njihen për dhënie autorizimi apo regjistrimi, vetëm kur:</w:t>
      </w:r>
    </w:p>
    <w:p w:rsidR="005A63CD" w:rsidRDefault="005A63CD" w:rsidP="005A63CD">
      <w:pPr>
        <w:pStyle w:val="Paragrafi0"/>
      </w:pPr>
      <w:r>
        <w:t>a) organizmat akreditues janë nënshkrues të marrëveshjeve shumëpalëshe me organizatat europiane dhe ndërkombëtare të akreditimit, në fushën ku organizmi i vlerësimit të konformitetit kërkon të akreditohet;</w:t>
      </w:r>
    </w:p>
    <w:p w:rsidR="005A63CD" w:rsidRDefault="005A63CD" w:rsidP="005A63CD">
      <w:pPr>
        <w:pStyle w:val="Paragrafi0"/>
      </w:pPr>
      <w:r>
        <w:t>b) organizmat akreditues janë nënshkruese të marrëveshjeve dypalëshe me DPA-në, për njohjen e ndërsjellë të akreditimeve;</w:t>
      </w:r>
    </w:p>
    <w:p w:rsidR="005A63CD" w:rsidRDefault="005A63CD" w:rsidP="005A63CD">
      <w:pPr>
        <w:pStyle w:val="Paragrafi0"/>
      </w:pPr>
      <w:r>
        <w:t>c) ekuivalenca e procedurave të akreditimit është vlerësuar nga DPA-ja, pavarësisht se organizmi akreditues i huaj nuk është nënshkrues i marrëveshjeve dypalëshe ose shumëpalëshe.</w:t>
      </w:r>
    </w:p>
    <w:p w:rsidR="005A63CD" w:rsidRDefault="005A63CD" w:rsidP="005A63CD">
      <w:pPr>
        <w:pStyle w:val="Paragrafi0"/>
      </w:pPr>
      <w:r>
        <w:t>26. Në rast akreditimi nga një organizëm akreditues i huaj, autoriteti i lëshimit të autorizimit/regjistrimit i kërkon organizmit të vlerësimit të konformitetit të pajiset me dokument njohjeje nga DPA-ja, për certifikatën e akreditimit dhe dokumentet shoqëruese të certifikatës.</w:t>
      </w:r>
    </w:p>
    <w:p w:rsidR="005A63CD" w:rsidRDefault="005A63CD" w:rsidP="005A63CD">
      <w:pPr>
        <w:pStyle w:val="Paragrafi0"/>
      </w:pPr>
      <w:r>
        <w:t>27. Organizmat e vlerësimit të konformitetit, të interesuar për akreditim apo për vlerësim të kompetencës së tyre, i drejtohen DPA-së. Në procesin e vlerësimit për akreditim, organizmi i vlerësimit të konformitetit kërkues u përgjigjet kritereve, ashtu si janë përcaktuar, në veçanti, në standardet dhe udhëzuesit e nxjerrë nga organizmat ndërkombëtarë të akreditimit.</w:t>
      </w:r>
    </w:p>
    <w:p w:rsidR="005A63CD" w:rsidRDefault="005A63CD" w:rsidP="005A63CD">
      <w:pPr>
        <w:pStyle w:val="Paragrafi0"/>
      </w:pPr>
      <w:r>
        <w:t>28. Organizmi i vlerësimit të konformitetit, që kërkon të akreditohet për qëllime autorizimi apo regjistrimi, aplikon për akreditim, gjithashtu, në bazë të kritereve, të përcaktuara në pikën 27 të këtij vendimi, plus rregullave dhe kërkesave të veçanta teknike, që lidhen me dhënien e autorizimit apo të regjistrimit.</w:t>
      </w:r>
    </w:p>
    <w:p w:rsidR="005A63CD" w:rsidRDefault="005A63CD" w:rsidP="005A63CD">
      <w:pPr>
        <w:pStyle w:val="Paragrafi0"/>
      </w:pPr>
      <w:r>
        <w:t>29. DPA-ja informon organet përgjegjëse të dhënies së autorizimit apo të regjistrimit, në lidhje me kërkesën për akreditim, edhe vendimet për statusin e akreditimit të organizmave, të cilët kërkojnë të jenë apo janë të autorizuar/regjistruar.</w:t>
      </w:r>
    </w:p>
    <w:p w:rsidR="005A63CD" w:rsidRDefault="005A63CD" w:rsidP="005A63CD">
      <w:pPr>
        <w:pStyle w:val="Paragrafi0"/>
      </w:pPr>
      <w:r>
        <w:t>30. Organet përgjegjëse të dhënies së autorizimit apo regjistrimit informojnë DPA-në për autorizimet apo regjistrimet e dhëna, si dhe për fushën e veprimit të tyre.</w:t>
      </w:r>
    </w:p>
    <w:p w:rsidR="005A63CD" w:rsidRDefault="005A63CD" w:rsidP="005A63CD">
      <w:pPr>
        <w:pStyle w:val="Paragrafi0"/>
      </w:pPr>
      <w:r>
        <w:t xml:space="preserve">31. Për vlerësimin e kompetencës teknike të organizmave të vlerësimit të konformitetit, DPA-ja ngarkon një ekip, me specialistë vlerësues, </w:t>
      </w:r>
      <w:smartTag w:uri="urn:schemas-microsoft-com:office:smarttags" w:element="place">
        <w:smartTag w:uri="urn:schemas-microsoft-com:office:smarttags" w:element="country-region">
          <w:r>
            <w:t>vendas</w:t>
          </w:r>
        </w:smartTag>
      </w:smartTag>
      <w:r>
        <w:t xml:space="preserve"> apo të huaj, punonjës ose jo të saj, të cilët veprojnë gjithmonë në emër të këtij institucioni. Pagesa e vlerësuesve </w:t>
      </w:r>
      <w:smartTag w:uri="urn:schemas-microsoft-com:office:smarttags" w:element="place">
        <w:smartTag w:uri="urn:schemas-microsoft-com:office:smarttags" w:element="country-region">
          <w:r>
            <w:t>vendas</w:t>
          </w:r>
        </w:smartTag>
      </w:smartTag>
      <w:r>
        <w:t>, jopunonjës të DPA-së, përcaktohet në përputhje me nenin 11 të ligjit nr.9824, datë 1.11.2007 “Për akreditmin e organizmave të vlerësimit të konformitetit në Republikën e Shqipërisë”. Pagesa e vlerësuesve të huaj mund të kontraktohet, sipas tarifave të vendit të origjinës, por, gjithmonë, në marrëveshje me organizmin e vlerësimit të konformitetit, që ka aplikuar për akreditim.</w:t>
      </w:r>
    </w:p>
    <w:p w:rsidR="005A63CD" w:rsidRDefault="005A63CD" w:rsidP="005A63CD">
      <w:pPr>
        <w:pStyle w:val="Paragrafi0"/>
      </w:pPr>
      <w:r>
        <w:t>32. Akreditimi jepet për një afat kohor katërvjeçar.</w:t>
      </w:r>
    </w:p>
    <w:p w:rsidR="005A63CD" w:rsidRDefault="005A63CD" w:rsidP="005A63CD">
      <w:pPr>
        <w:pStyle w:val="Paragrafi0"/>
      </w:pPr>
      <w:r>
        <w:t>33. DPA-ja, gjatë periudhës së vlefshmërisë së akreditimit, mbikëqyr, në mënyrë periodike, statusin e akreditimit. Për organizmat e autorizuar apo të regjistruar, mbikëqyrja e akreditimit nga DPA-ja bashkërenditet me atë të organeve përkatëse përgjegjëse, kur këto kryejnë vlerësimet periodike të statusit të autorizimit apo regjistrimit. Nëse ka informacion se një organizëm i akredituar, i autorizuar/regjistruar ose jo, nuk plotëson më kushtet e akreditimit, mbikëqyrja mund të kryhet në çdo kohë, madje dhe pa lajmërim.</w:t>
      </w:r>
    </w:p>
    <w:p w:rsidR="005A63CD" w:rsidRDefault="005A63CD" w:rsidP="005A63CD">
      <w:pPr>
        <w:pStyle w:val="Paragrafi0"/>
      </w:pPr>
      <w:r>
        <w:t>34. Në rast pezullimi të autorizimit/regjistrimit, DPA-ja njoftohet nga organet përkatëse përgjegjëse për të kryer rivlerësimin e kushteve të akreditimit.</w:t>
      </w:r>
    </w:p>
    <w:p w:rsidR="005A63CD" w:rsidRDefault="005A63CD" w:rsidP="005A63CD">
      <w:pPr>
        <w:pStyle w:val="Paragrafi0"/>
      </w:pPr>
      <w:r>
        <w:t>35. Efektet financiare, që rrjedhin nga zbatimi i pikave 5 e 8 të këtij vendimi, do të aplikohen nga data 1 janar 2009 dhe mbulohen nga Buxheti i Shtetit.</w:t>
      </w:r>
    </w:p>
    <w:p w:rsidR="005A63CD" w:rsidRDefault="005A63CD" w:rsidP="005A63CD">
      <w:pPr>
        <w:pStyle w:val="Paragrafi0"/>
      </w:pPr>
      <w:r>
        <w:t>36. Ngarkohen Drejtoria e Përgjithshme e Akreditimit dhe Ministria e Ekonomisë, Tregtisë dhe Energjetikës për zbatimin e këtij vendimi.</w:t>
      </w:r>
    </w:p>
    <w:p w:rsidR="005A63CD" w:rsidRDefault="005A63CD" w:rsidP="005A63CD">
      <w:pPr>
        <w:pStyle w:val="Paragrafi0"/>
      </w:pPr>
      <w:r>
        <w:t>37. Ngarkohet Ministria e Financave për zbatimin e pikës 8 të këtij vendimi.</w:t>
      </w:r>
    </w:p>
    <w:p w:rsidR="005A63CD" w:rsidRDefault="005A63CD" w:rsidP="005A63CD">
      <w:pPr>
        <w:pStyle w:val="Paragrafi0"/>
      </w:pPr>
      <w:r>
        <w:t>38. Vendimi nr.854, datë 19.12.2002 i Këshillit të Ministrave “Për organizimin dhe funksionimin e Drejtorisë së Akreditimit”, shfuqizohet.</w:t>
      </w:r>
    </w:p>
    <w:p w:rsidR="005A63CD" w:rsidRDefault="005A63CD" w:rsidP="005A63CD">
      <w:pPr>
        <w:pStyle w:val="Paragrafi0"/>
      </w:pPr>
      <w:r>
        <w:t>Ky vendim hyn në fuqi pas botimit në Fletoren Zyrtare.</w:t>
      </w:r>
    </w:p>
    <w:p w:rsidR="005A63CD" w:rsidRDefault="005A63CD" w:rsidP="005A63CD">
      <w:pPr>
        <w:pStyle w:val="Paragrafi0"/>
      </w:pPr>
    </w:p>
    <w:p w:rsidR="005A63CD" w:rsidRDefault="005A63CD" w:rsidP="005A63CD">
      <w:pPr>
        <w:pStyle w:val="Autoriteti"/>
      </w:pPr>
      <w:r>
        <w:t>KRYEMINISTRI</w:t>
      </w:r>
    </w:p>
    <w:p w:rsidR="005A63CD" w:rsidRDefault="005A63CD" w:rsidP="005A63CD">
      <w:pPr>
        <w:pStyle w:val="AutoritetiEmer"/>
      </w:pPr>
      <w:r>
        <w:t>Sali Berisha</w:t>
      </w:r>
    </w:p>
    <w:sectPr w:rsidR="005A63CD" w:rsidSect="005A63CD">
      <w:footerReference w:type="even" r:id="rId6"/>
      <w:footerReference w:type="default" r:id="rId7"/>
      <w:pgSz w:w="11907" w:h="16840" w:code="9"/>
      <w:pgMar w:top="1418" w:right="1418" w:bottom="1418" w:left="1418" w:header="1304" w:footer="1134" w:gutter="0"/>
      <w:pgNumType w:start="1153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F1C61">
      <w:r>
        <w:separator/>
      </w:r>
    </w:p>
  </w:endnote>
  <w:endnote w:type="continuationSeparator" w:id="0">
    <w:p w:rsidR="00000000" w:rsidRDefault="00EF1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3CD" w:rsidRDefault="005A63CD" w:rsidP="005A63C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A63CD" w:rsidRDefault="005A63CD" w:rsidP="005A63C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3CD" w:rsidRPr="00B33DF5" w:rsidRDefault="005A63CD" w:rsidP="005A63CD">
    <w:pPr>
      <w:pStyle w:val="Footer"/>
      <w:framePr w:wrap="around" w:vAnchor="text" w:hAnchor="margin" w:xAlign="outside" w:y="1"/>
      <w:rPr>
        <w:rStyle w:val="PageNumber"/>
        <w:rFonts w:ascii="CG Times" w:hAnsi="CG Times"/>
        <w:sz w:val="22"/>
        <w:szCs w:val="22"/>
      </w:rPr>
    </w:pPr>
    <w:r w:rsidRPr="00B33DF5">
      <w:rPr>
        <w:rStyle w:val="PageNumber"/>
        <w:rFonts w:ascii="CG Times" w:hAnsi="CG Times"/>
        <w:sz w:val="22"/>
        <w:szCs w:val="22"/>
      </w:rPr>
      <w:fldChar w:fldCharType="begin"/>
    </w:r>
    <w:r w:rsidRPr="00B33DF5">
      <w:rPr>
        <w:rStyle w:val="PageNumber"/>
        <w:rFonts w:ascii="CG Times" w:hAnsi="CG Times"/>
        <w:sz w:val="22"/>
        <w:szCs w:val="22"/>
      </w:rPr>
      <w:instrText xml:space="preserve">PAGE  </w:instrText>
    </w:r>
    <w:r w:rsidRPr="00B33DF5">
      <w:rPr>
        <w:rStyle w:val="PageNumber"/>
        <w:rFonts w:ascii="CG Times" w:hAnsi="CG Times"/>
        <w:sz w:val="22"/>
        <w:szCs w:val="22"/>
      </w:rPr>
      <w:fldChar w:fldCharType="separate"/>
    </w:r>
    <w:r w:rsidR="00EF1C61">
      <w:rPr>
        <w:rStyle w:val="PageNumber"/>
        <w:rFonts w:ascii="CG Times" w:hAnsi="CG Times"/>
        <w:noProof/>
        <w:sz w:val="22"/>
        <w:szCs w:val="22"/>
      </w:rPr>
      <w:t>11540</w:t>
    </w:r>
    <w:r w:rsidRPr="00B33DF5">
      <w:rPr>
        <w:rStyle w:val="PageNumber"/>
        <w:rFonts w:ascii="CG Times" w:hAnsi="CG Times"/>
        <w:sz w:val="22"/>
        <w:szCs w:val="22"/>
      </w:rPr>
      <w:fldChar w:fldCharType="end"/>
    </w:r>
  </w:p>
  <w:p w:rsidR="005A63CD" w:rsidRDefault="005A63CD" w:rsidP="005A63C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F1C61">
      <w:r>
        <w:separator/>
      </w:r>
    </w:p>
  </w:footnote>
  <w:footnote w:type="continuationSeparator" w:id="0">
    <w:p w:rsidR="00000000" w:rsidRDefault="00EF1C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A63CD"/>
    <w:rsid w:val="00005805"/>
    <w:rsid w:val="000116E2"/>
    <w:rsid w:val="000152A2"/>
    <w:rsid w:val="00016606"/>
    <w:rsid w:val="00017EBE"/>
    <w:rsid w:val="000239EC"/>
    <w:rsid w:val="000253C1"/>
    <w:rsid w:val="0002748B"/>
    <w:rsid w:val="00042FCA"/>
    <w:rsid w:val="00053FD5"/>
    <w:rsid w:val="00055B92"/>
    <w:rsid w:val="00057B3F"/>
    <w:rsid w:val="00066D6B"/>
    <w:rsid w:val="00071072"/>
    <w:rsid w:val="000813AD"/>
    <w:rsid w:val="00081DED"/>
    <w:rsid w:val="000B3B20"/>
    <w:rsid w:val="000C2D93"/>
    <w:rsid w:val="000C4FFA"/>
    <w:rsid w:val="000C61F8"/>
    <w:rsid w:val="000C750C"/>
    <w:rsid w:val="000D1F2B"/>
    <w:rsid w:val="000D65A1"/>
    <w:rsid w:val="000E0DE0"/>
    <w:rsid w:val="000E47F5"/>
    <w:rsid w:val="000F0EC8"/>
    <w:rsid w:val="00103440"/>
    <w:rsid w:val="00125054"/>
    <w:rsid w:val="00132DD0"/>
    <w:rsid w:val="00132FBB"/>
    <w:rsid w:val="00134231"/>
    <w:rsid w:val="0015202D"/>
    <w:rsid w:val="00152456"/>
    <w:rsid w:val="001532F4"/>
    <w:rsid w:val="001743DB"/>
    <w:rsid w:val="001763D1"/>
    <w:rsid w:val="001952F8"/>
    <w:rsid w:val="001A2C51"/>
    <w:rsid w:val="001B05F9"/>
    <w:rsid w:val="001B06BA"/>
    <w:rsid w:val="001B39D0"/>
    <w:rsid w:val="001C1609"/>
    <w:rsid w:val="001C345E"/>
    <w:rsid w:val="001C3F7F"/>
    <w:rsid w:val="001C407E"/>
    <w:rsid w:val="001C6FD6"/>
    <w:rsid w:val="001D52B7"/>
    <w:rsid w:val="001D6951"/>
    <w:rsid w:val="001E0AF3"/>
    <w:rsid w:val="001E3756"/>
    <w:rsid w:val="001F45BB"/>
    <w:rsid w:val="00203073"/>
    <w:rsid w:val="00204565"/>
    <w:rsid w:val="002047F1"/>
    <w:rsid w:val="00206485"/>
    <w:rsid w:val="002218B3"/>
    <w:rsid w:val="0022239B"/>
    <w:rsid w:val="002278F6"/>
    <w:rsid w:val="00252D7E"/>
    <w:rsid w:val="002538A1"/>
    <w:rsid w:val="0025540D"/>
    <w:rsid w:val="002608DE"/>
    <w:rsid w:val="002612BA"/>
    <w:rsid w:val="00266A90"/>
    <w:rsid w:val="002819BD"/>
    <w:rsid w:val="0029358C"/>
    <w:rsid w:val="002B5A40"/>
    <w:rsid w:val="002B5C1F"/>
    <w:rsid w:val="002B7B90"/>
    <w:rsid w:val="002C2F7E"/>
    <w:rsid w:val="002C663A"/>
    <w:rsid w:val="002E6924"/>
    <w:rsid w:val="002E7680"/>
    <w:rsid w:val="002F3591"/>
    <w:rsid w:val="003107C7"/>
    <w:rsid w:val="0031550B"/>
    <w:rsid w:val="00323062"/>
    <w:rsid w:val="00324C47"/>
    <w:rsid w:val="00354C70"/>
    <w:rsid w:val="00356EA6"/>
    <w:rsid w:val="00357FBC"/>
    <w:rsid w:val="00364171"/>
    <w:rsid w:val="00373FD0"/>
    <w:rsid w:val="0037658A"/>
    <w:rsid w:val="003A0F41"/>
    <w:rsid w:val="003A59E8"/>
    <w:rsid w:val="003B370C"/>
    <w:rsid w:val="003C34AC"/>
    <w:rsid w:val="003C5597"/>
    <w:rsid w:val="003E29AB"/>
    <w:rsid w:val="003E5A3C"/>
    <w:rsid w:val="00402051"/>
    <w:rsid w:val="004035B3"/>
    <w:rsid w:val="00411350"/>
    <w:rsid w:val="00412459"/>
    <w:rsid w:val="0042500E"/>
    <w:rsid w:val="004257EA"/>
    <w:rsid w:val="00425AC9"/>
    <w:rsid w:val="00427F76"/>
    <w:rsid w:val="00453249"/>
    <w:rsid w:val="0045357A"/>
    <w:rsid w:val="004676E2"/>
    <w:rsid w:val="00471BC0"/>
    <w:rsid w:val="00474045"/>
    <w:rsid w:val="004811FB"/>
    <w:rsid w:val="00481895"/>
    <w:rsid w:val="00494FC4"/>
    <w:rsid w:val="004A7CD1"/>
    <w:rsid w:val="004B2212"/>
    <w:rsid w:val="004B4D1B"/>
    <w:rsid w:val="004C505A"/>
    <w:rsid w:val="004C798A"/>
    <w:rsid w:val="004E72E6"/>
    <w:rsid w:val="004F5B0D"/>
    <w:rsid w:val="004F5C9A"/>
    <w:rsid w:val="004F6760"/>
    <w:rsid w:val="005009A9"/>
    <w:rsid w:val="00502300"/>
    <w:rsid w:val="00520904"/>
    <w:rsid w:val="005267D0"/>
    <w:rsid w:val="00557A25"/>
    <w:rsid w:val="00571B16"/>
    <w:rsid w:val="00572B76"/>
    <w:rsid w:val="00582220"/>
    <w:rsid w:val="005915C1"/>
    <w:rsid w:val="005A6181"/>
    <w:rsid w:val="005A63CD"/>
    <w:rsid w:val="005A76EA"/>
    <w:rsid w:val="005C1ED6"/>
    <w:rsid w:val="005D3BF4"/>
    <w:rsid w:val="00602F29"/>
    <w:rsid w:val="00603BBB"/>
    <w:rsid w:val="0060696A"/>
    <w:rsid w:val="00615823"/>
    <w:rsid w:val="00615F4E"/>
    <w:rsid w:val="00616583"/>
    <w:rsid w:val="0064249D"/>
    <w:rsid w:val="006425FC"/>
    <w:rsid w:val="00671577"/>
    <w:rsid w:val="00673FF0"/>
    <w:rsid w:val="006771AC"/>
    <w:rsid w:val="00682F33"/>
    <w:rsid w:val="00683536"/>
    <w:rsid w:val="006933FE"/>
    <w:rsid w:val="00694E32"/>
    <w:rsid w:val="006B2EF9"/>
    <w:rsid w:val="006C6838"/>
    <w:rsid w:val="006C6CC1"/>
    <w:rsid w:val="006D6EFE"/>
    <w:rsid w:val="006E0B99"/>
    <w:rsid w:val="006E3575"/>
    <w:rsid w:val="006F340A"/>
    <w:rsid w:val="006F3D8B"/>
    <w:rsid w:val="007071C1"/>
    <w:rsid w:val="00715049"/>
    <w:rsid w:val="007169FF"/>
    <w:rsid w:val="007235A2"/>
    <w:rsid w:val="007355EB"/>
    <w:rsid w:val="00756B4E"/>
    <w:rsid w:val="0075728B"/>
    <w:rsid w:val="00760AA6"/>
    <w:rsid w:val="00761FEB"/>
    <w:rsid w:val="007708DE"/>
    <w:rsid w:val="0078151F"/>
    <w:rsid w:val="007819BC"/>
    <w:rsid w:val="0078554A"/>
    <w:rsid w:val="00785FFC"/>
    <w:rsid w:val="00786BC7"/>
    <w:rsid w:val="00792743"/>
    <w:rsid w:val="0079382F"/>
    <w:rsid w:val="007970A2"/>
    <w:rsid w:val="007C561F"/>
    <w:rsid w:val="007D12D3"/>
    <w:rsid w:val="007D3D1F"/>
    <w:rsid w:val="007D4410"/>
    <w:rsid w:val="007D4F2F"/>
    <w:rsid w:val="007E2FED"/>
    <w:rsid w:val="007E4705"/>
    <w:rsid w:val="007E4BB8"/>
    <w:rsid w:val="007E75E0"/>
    <w:rsid w:val="007F4A22"/>
    <w:rsid w:val="007F60D2"/>
    <w:rsid w:val="0080191A"/>
    <w:rsid w:val="008034BC"/>
    <w:rsid w:val="008041F7"/>
    <w:rsid w:val="008073B6"/>
    <w:rsid w:val="008162EE"/>
    <w:rsid w:val="00823050"/>
    <w:rsid w:val="0084152F"/>
    <w:rsid w:val="00844A57"/>
    <w:rsid w:val="008518B1"/>
    <w:rsid w:val="008533FC"/>
    <w:rsid w:val="008569AD"/>
    <w:rsid w:val="00883176"/>
    <w:rsid w:val="0088753F"/>
    <w:rsid w:val="00887EBD"/>
    <w:rsid w:val="00890E90"/>
    <w:rsid w:val="0089617E"/>
    <w:rsid w:val="008B10ED"/>
    <w:rsid w:val="008D242F"/>
    <w:rsid w:val="008D73A9"/>
    <w:rsid w:val="008E7307"/>
    <w:rsid w:val="008F0846"/>
    <w:rsid w:val="008F1BE3"/>
    <w:rsid w:val="008F71A1"/>
    <w:rsid w:val="00913360"/>
    <w:rsid w:val="009166AF"/>
    <w:rsid w:val="0091681E"/>
    <w:rsid w:val="009221B5"/>
    <w:rsid w:val="00927B74"/>
    <w:rsid w:val="0093145E"/>
    <w:rsid w:val="00943098"/>
    <w:rsid w:val="00952B82"/>
    <w:rsid w:val="00961AD4"/>
    <w:rsid w:val="00971B20"/>
    <w:rsid w:val="009865D7"/>
    <w:rsid w:val="00990A5D"/>
    <w:rsid w:val="00997B16"/>
    <w:rsid w:val="009A1FDB"/>
    <w:rsid w:val="009A7512"/>
    <w:rsid w:val="009B5DE8"/>
    <w:rsid w:val="009C244E"/>
    <w:rsid w:val="009C59E2"/>
    <w:rsid w:val="009C698B"/>
    <w:rsid w:val="009E12A3"/>
    <w:rsid w:val="009E196D"/>
    <w:rsid w:val="00A06ECC"/>
    <w:rsid w:val="00A1081B"/>
    <w:rsid w:val="00A23238"/>
    <w:rsid w:val="00A308F3"/>
    <w:rsid w:val="00A36F61"/>
    <w:rsid w:val="00A507D7"/>
    <w:rsid w:val="00A512E6"/>
    <w:rsid w:val="00A51C90"/>
    <w:rsid w:val="00A520E9"/>
    <w:rsid w:val="00A52E74"/>
    <w:rsid w:val="00A553C4"/>
    <w:rsid w:val="00A55AFE"/>
    <w:rsid w:val="00A56B57"/>
    <w:rsid w:val="00A67D65"/>
    <w:rsid w:val="00A70520"/>
    <w:rsid w:val="00A731A2"/>
    <w:rsid w:val="00A80C9A"/>
    <w:rsid w:val="00A81297"/>
    <w:rsid w:val="00A93486"/>
    <w:rsid w:val="00A95AEE"/>
    <w:rsid w:val="00A97655"/>
    <w:rsid w:val="00AA0126"/>
    <w:rsid w:val="00AA0509"/>
    <w:rsid w:val="00AB6ED0"/>
    <w:rsid w:val="00AE2C3A"/>
    <w:rsid w:val="00AF6FC9"/>
    <w:rsid w:val="00B01885"/>
    <w:rsid w:val="00B0397B"/>
    <w:rsid w:val="00B231C6"/>
    <w:rsid w:val="00B304AB"/>
    <w:rsid w:val="00B30A87"/>
    <w:rsid w:val="00B31AA8"/>
    <w:rsid w:val="00B320FC"/>
    <w:rsid w:val="00B3592B"/>
    <w:rsid w:val="00B36C00"/>
    <w:rsid w:val="00B40E2A"/>
    <w:rsid w:val="00B4411A"/>
    <w:rsid w:val="00B65249"/>
    <w:rsid w:val="00B71539"/>
    <w:rsid w:val="00B8484C"/>
    <w:rsid w:val="00B87DCC"/>
    <w:rsid w:val="00B97FD5"/>
    <w:rsid w:val="00BB085C"/>
    <w:rsid w:val="00BC26E1"/>
    <w:rsid w:val="00BC5452"/>
    <w:rsid w:val="00BC6CE7"/>
    <w:rsid w:val="00BD0A02"/>
    <w:rsid w:val="00BE1622"/>
    <w:rsid w:val="00BE1DDF"/>
    <w:rsid w:val="00BF214C"/>
    <w:rsid w:val="00BF47D7"/>
    <w:rsid w:val="00BF6E17"/>
    <w:rsid w:val="00C04730"/>
    <w:rsid w:val="00C04C46"/>
    <w:rsid w:val="00C0606C"/>
    <w:rsid w:val="00C15A00"/>
    <w:rsid w:val="00C22D97"/>
    <w:rsid w:val="00C33F71"/>
    <w:rsid w:val="00C41A80"/>
    <w:rsid w:val="00C47B52"/>
    <w:rsid w:val="00C5019E"/>
    <w:rsid w:val="00C50C6D"/>
    <w:rsid w:val="00C63800"/>
    <w:rsid w:val="00C76C12"/>
    <w:rsid w:val="00C81682"/>
    <w:rsid w:val="00C90A36"/>
    <w:rsid w:val="00CA0746"/>
    <w:rsid w:val="00CA07EF"/>
    <w:rsid w:val="00CA4FE2"/>
    <w:rsid w:val="00CA51CA"/>
    <w:rsid w:val="00CB1A2D"/>
    <w:rsid w:val="00CC7AA1"/>
    <w:rsid w:val="00CD3859"/>
    <w:rsid w:val="00CD5371"/>
    <w:rsid w:val="00CE179E"/>
    <w:rsid w:val="00CE6530"/>
    <w:rsid w:val="00CE6CC0"/>
    <w:rsid w:val="00D03F6E"/>
    <w:rsid w:val="00D14D49"/>
    <w:rsid w:val="00D14F5E"/>
    <w:rsid w:val="00D32262"/>
    <w:rsid w:val="00D32652"/>
    <w:rsid w:val="00D4083D"/>
    <w:rsid w:val="00D55569"/>
    <w:rsid w:val="00D62D8F"/>
    <w:rsid w:val="00D65923"/>
    <w:rsid w:val="00D6683B"/>
    <w:rsid w:val="00D70F57"/>
    <w:rsid w:val="00D75EA0"/>
    <w:rsid w:val="00D8028C"/>
    <w:rsid w:val="00D838B0"/>
    <w:rsid w:val="00D83FA3"/>
    <w:rsid w:val="00D86C7B"/>
    <w:rsid w:val="00D91B15"/>
    <w:rsid w:val="00DA14E8"/>
    <w:rsid w:val="00DA7194"/>
    <w:rsid w:val="00DC22F7"/>
    <w:rsid w:val="00DC70E0"/>
    <w:rsid w:val="00DD0751"/>
    <w:rsid w:val="00E02A89"/>
    <w:rsid w:val="00E03C4C"/>
    <w:rsid w:val="00E262B2"/>
    <w:rsid w:val="00E269BA"/>
    <w:rsid w:val="00E35F12"/>
    <w:rsid w:val="00E367E4"/>
    <w:rsid w:val="00E47701"/>
    <w:rsid w:val="00E71D15"/>
    <w:rsid w:val="00E834AF"/>
    <w:rsid w:val="00E943E3"/>
    <w:rsid w:val="00E96895"/>
    <w:rsid w:val="00E977BC"/>
    <w:rsid w:val="00EA28AE"/>
    <w:rsid w:val="00EA4DF1"/>
    <w:rsid w:val="00EB1957"/>
    <w:rsid w:val="00EB24A9"/>
    <w:rsid w:val="00EC3315"/>
    <w:rsid w:val="00EF1C61"/>
    <w:rsid w:val="00EF7E31"/>
    <w:rsid w:val="00F02C33"/>
    <w:rsid w:val="00F042D3"/>
    <w:rsid w:val="00F15C00"/>
    <w:rsid w:val="00F2187B"/>
    <w:rsid w:val="00F25E06"/>
    <w:rsid w:val="00F37A38"/>
    <w:rsid w:val="00F37D59"/>
    <w:rsid w:val="00F43E17"/>
    <w:rsid w:val="00F46890"/>
    <w:rsid w:val="00F56840"/>
    <w:rsid w:val="00F6716B"/>
    <w:rsid w:val="00F7724A"/>
    <w:rsid w:val="00F81867"/>
    <w:rsid w:val="00F83DBC"/>
    <w:rsid w:val="00F84FFD"/>
    <w:rsid w:val="00F91553"/>
    <w:rsid w:val="00F9168A"/>
    <w:rsid w:val="00FA0E41"/>
    <w:rsid w:val="00FA796B"/>
    <w:rsid w:val="00FB7558"/>
    <w:rsid w:val="00FB7650"/>
    <w:rsid w:val="00FC19E3"/>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7F0205D-3F89-43EE-923D-13F488E07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3CD"/>
    <w:rPr>
      <w:rFonts w:eastAsia="MS Mincho"/>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B320FC"/>
    <w:rPr>
      <w:rFonts w:ascii="CG Times" w:hAnsi="CG Times"/>
      <w:sz w:val="22"/>
      <w:lang w:eastAsia="en-US"/>
    </w:rPr>
  </w:style>
  <w:style w:type="paragraph" w:customStyle="1" w:styleId="AneksiNr">
    <w:name w:val="Aneksi_Nr"/>
    <w:next w:val="Normal"/>
    <w:rsid w:val="00B320FC"/>
    <w:pPr>
      <w:keepNext/>
      <w:widowControl w:val="0"/>
      <w:jc w:val="center"/>
    </w:pPr>
    <w:rPr>
      <w:rFonts w:ascii="CG Times" w:hAnsi="CG Times"/>
      <w:caps/>
      <w:sz w:val="22"/>
      <w:szCs w:val="22"/>
      <w:lang w:eastAsia="en-US"/>
    </w:rPr>
  </w:style>
  <w:style w:type="paragraph" w:customStyle="1" w:styleId="AneksiTitull">
    <w:name w:val="Aneksi_Titull"/>
    <w:next w:val="Normal"/>
    <w:rsid w:val="00B320FC"/>
    <w:pPr>
      <w:jc w:val="center"/>
    </w:pPr>
    <w:rPr>
      <w:rFonts w:ascii="CG Times" w:hAnsi="CG Times"/>
      <w:sz w:val="24"/>
      <w:szCs w:val="24"/>
      <w:lang w:eastAsia="en-US"/>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B320FC"/>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eastAsia="en-US"/>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lang w:val="en-US" w:eastAsia="en-US"/>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lang w:val="en-US" w:eastAsia="en-US"/>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eastAsia="en-US"/>
    </w:rPr>
  </w:style>
  <w:style w:type="paragraph" w:customStyle="1" w:styleId="Kapakufund">
    <w:name w:val="Kapaku_fund"/>
    <w:next w:val="Normal"/>
    <w:rsid w:val="00B320FC"/>
    <w:pPr>
      <w:pageBreakBefore/>
    </w:pPr>
    <w:rPr>
      <w:rFonts w:ascii="CG Times" w:hAnsi="CG Times"/>
      <w:b/>
      <w:sz w:val="22"/>
      <w:szCs w:val="22"/>
      <w:lang w:val="en-US" w:eastAsia="en-US"/>
    </w:rPr>
  </w:style>
  <w:style w:type="paragraph" w:customStyle="1" w:styleId="KapitulliNr">
    <w:name w:val="Kapitulli_Nr"/>
    <w:rsid w:val="00B320FC"/>
    <w:pPr>
      <w:keepNext/>
      <w:widowControl w:val="0"/>
      <w:jc w:val="center"/>
    </w:pPr>
    <w:rPr>
      <w:rFonts w:ascii="CG Times" w:hAnsi="CG Times"/>
      <w:caps/>
      <w:sz w:val="22"/>
      <w:szCs w:val="22"/>
      <w:lang w:eastAsia="en-US"/>
    </w:rPr>
  </w:style>
  <w:style w:type="paragraph" w:customStyle="1" w:styleId="KapitulliTitull">
    <w:name w:val="Kapitulli_Titull"/>
    <w:rsid w:val="00B320FC"/>
    <w:pPr>
      <w:keepNext/>
      <w:widowControl w:val="0"/>
      <w:jc w:val="center"/>
    </w:pPr>
    <w:rPr>
      <w:rFonts w:ascii="CG Times" w:hAnsi="CG Times"/>
      <w:caps/>
      <w:sz w:val="22"/>
      <w:szCs w:val="22"/>
      <w:lang w:eastAsia="en-US"/>
    </w:rPr>
  </w:style>
  <w:style w:type="paragraph" w:customStyle="1" w:styleId="KreuNr">
    <w:name w:val="Kreu_Nr"/>
    <w:rsid w:val="00B320FC"/>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320FC"/>
    <w:pPr>
      <w:keepNext/>
      <w:widowControl w:val="0"/>
      <w:jc w:val="center"/>
    </w:pPr>
    <w:rPr>
      <w:rFonts w:ascii="CG Times" w:hAnsi="CG Times"/>
      <w:caps/>
      <w:sz w:val="22"/>
      <w:szCs w:val="22"/>
      <w:lang w:val="en-US" w:eastAsia="en-US"/>
    </w:rPr>
  </w:style>
  <w:style w:type="paragraph" w:customStyle="1" w:styleId="Ndryshimet">
    <w:name w:val="Ndryshimet"/>
    <w:next w:val="Normal"/>
    <w:rsid w:val="00B320FC"/>
    <w:pPr>
      <w:keepNext/>
      <w:widowControl w:val="0"/>
      <w:jc w:val="center"/>
    </w:pPr>
    <w:rPr>
      <w:rFonts w:ascii="CG Times" w:hAnsi="CG Times"/>
      <w:i/>
      <w:sz w:val="22"/>
      <w:lang w:val="en-US" w:eastAsia="en-US"/>
    </w:rPr>
  </w:style>
  <w:style w:type="paragraph" w:customStyle="1" w:styleId="NeniNr">
    <w:name w:val="Neni_Nr"/>
    <w:next w:val="Normal"/>
    <w:rsid w:val="00B320FC"/>
    <w:pPr>
      <w:keepNext/>
      <w:widowControl w:val="0"/>
      <w:jc w:val="center"/>
    </w:pPr>
    <w:rPr>
      <w:rFonts w:ascii="CG Times" w:hAnsi="CG Times"/>
      <w:sz w:val="22"/>
      <w:lang w:eastAsia="en-US"/>
    </w:rPr>
  </w:style>
  <w:style w:type="paragraph" w:customStyle="1" w:styleId="NeniTitull">
    <w:name w:val="Neni_Titull"/>
    <w:next w:val="Normal"/>
    <w:rsid w:val="00B320FC"/>
    <w:pPr>
      <w:keepNext/>
      <w:widowControl w:val="0"/>
      <w:jc w:val="center"/>
      <w:outlineLvl w:val="2"/>
    </w:pPr>
    <w:rPr>
      <w:rFonts w:ascii="CG Times" w:hAnsi="CG Times"/>
      <w:b/>
      <w:sz w:val="22"/>
      <w:lang w:eastAsia="en-US"/>
    </w:rPr>
  </w:style>
  <w:style w:type="paragraph" w:customStyle="1" w:styleId="NenkreuNr">
    <w:name w:val="Nenkreu_Nr"/>
    <w:rsid w:val="00B320FC"/>
    <w:pPr>
      <w:keepNext/>
      <w:widowControl w:val="0"/>
      <w:jc w:val="center"/>
    </w:pPr>
    <w:rPr>
      <w:rFonts w:ascii="CG Times" w:hAnsi="CG Times"/>
      <w:caps/>
      <w:sz w:val="22"/>
      <w:szCs w:val="22"/>
      <w:lang w:eastAsia="en-US"/>
    </w:rPr>
  </w:style>
  <w:style w:type="paragraph" w:customStyle="1" w:styleId="NenkreuTitull">
    <w:name w:val="Nenkreu_Titull"/>
    <w:rsid w:val="00B320FC"/>
    <w:pPr>
      <w:jc w:val="center"/>
    </w:pPr>
    <w:rPr>
      <w:rFonts w:ascii="CG Times" w:hAnsi="CG Times"/>
      <w:caps/>
      <w:sz w:val="22"/>
      <w:szCs w:val="22"/>
      <w:lang w:eastAsia="en-US"/>
    </w:rPr>
  </w:style>
  <w:style w:type="paragraph" w:customStyle="1" w:styleId="Nenpika">
    <w:name w:val="Nenpika"/>
    <w:next w:val="Normal"/>
    <w:autoRedefine/>
    <w:rsid w:val="00B320FC"/>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eastAsia="en-US"/>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B320FC"/>
    <w:pPr>
      <w:ind w:firstLine="720"/>
    </w:pPr>
    <w:rPr>
      <w:rFonts w:ascii="CG Times" w:hAnsi="CG Times"/>
      <w:sz w:val="22"/>
      <w:lang w:val="en-US" w:eastAsia="en-US"/>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eastAsia="en-US"/>
    </w:rPr>
  </w:style>
  <w:style w:type="paragraph" w:customStyle="1" w:styleId="PjesaTitull">
    <w:name w:val="Pjesa_Titull"/>
    <w:rsid w:val="00B320FC"/>
    <w:pPr>
      <w:keepNext/>
      <w:widowControl w:val="0"/>
      <w:jc w:val="center"/>
    </w:pPr>
    <w:rPr>
      <w:rFonts w:ascii="CG Times" w:hAnsi="CG Times"/>
      <w:caps/>
      <w:sz w:val="22"/>
      <w:szCs w:val="22"/>
      <w:lang w:eastAsia="en-US"/>
    </w:rPr>
  </w:style>
  <w:style w:type="paragraph" w:customStyle="1" w:styleId="Shpallja">
    <w:name w:val="Shpallja"/>
    <w:rsid w:val="00B320FC"/>
    <w:pPr>
      <w:widowControl w:val="0"/>
      <w:jc w:val="both"/>
    </w:pPr>
    <w:rPr>
      <w:rFonts w:ascii="CG Times" w:hAnsi="CG Times"/>
      <w:b/>
      <w:color w:val="000000"/>
      <w:sz w:val="22"/>
      <w:szCs w:val="22"/>
      <w:lang w:val="sq-AL" w:eastAsia="en-US"/>
    </w:rPr>
  </w:style>
  <w:style w:type="paragraph" w:customStyle="1" w:styleId="Tabele">
    <w:name w:val="Tabele"/>
    <w:rsid w:val="00B320FC"/>
    <w:rPr>
      <w:rFonts w:ascii="CG Times" w:eastAsia="MS Mincho" w:hAnsi="CG Times"/>
      <w:sz w:val="22"/>
      <w:lang w:eastAsia="en-US"/>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eastAsia="en-US"/>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eastAsia="en-US"/>
    </w:rPr>
  </w:style>
  <w:style w:type="paragraph" w:styleId="Footer">
    <w:name w:val="footer"/>
    <w:basedOn w:val="Normal"/>
    <w:rsid w:val="005A63CD"/>
    <w:pPr>
      <w:tabs>
        <w:tab w:val="center" w:pos="4320"/>
        <w:tab w:val="right" w:pos="8640"/>
      </w:tabs>
    </w:pPr>
  </w:style>
  <w:style w:type="character" w:styleId="PageNumber">
    <w:name w:val="page number"/>
    <w:basedOn w:val="DefaultParagraphFont"/>
    <w:rsid w:val="005A6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1794</Words>
  <Characters>10229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2019-03-16T20:28:00Z</dcterms:created>
  <dcterms:modified xsi:type="dcterms:W3CDTF">2019-03-16T20:28:00Z</dcterms:modified>
</cp:coreProperties>
</file>