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EC7" w:rsidRDefault="00571EC7" w:rsidP="00571EC7">
      <w:pPr>
        <w:pStyle w:val="Akti"/>
        <w:keepNext w:val="0"/>
      </w:pPr>
      <w:bookmarkStart w:id="0" w:name="_GoBack"/>
      <w:bookmarkEnd w:id="0"/>
      <w:r>
        <w:t>VENDI</w:t>
      </w:r>
      <w:r w:rsidRPr="00514236">
        <w:t xml:space="preserve">M </w:t>
      </w:r>
    </w:p>
    <w:p w:rsidR="00571EC7" w:rsidRDefault="00571EC7" w:rsidP="00571EC7">
      <w:pPr>
        <w:pStyle w:val="NumriData"/>
        <w:keepNext w:val="0"/>
      </w:pPr>
      <w:r>
        <w:t>Nr.1345, datë 10.10.2008</w:t>
      </w:r>
    </w:p>
    <w:p w:rsidR="00571EC7" w:rsidRPr="004E1EF2" w:rsidRDefault="00571EC7" w:rsidP="00571EC7">
      <w:pPr>
        <w:pStyle w:val="Paragrafi"/>
        <w:rPr>
          <w:sz w:val="12"/>
        </w:rPr>
      </w:pPr>
    </w:p>
    <w:p w:rsidR="00571EC7" w:rsidRDefault="00571EC7" w:rsidP="00571EC7">
      <w:pPr>
        <w:pStyle w:val="Titulli"/>
        <w:keepNext w:val="0"/>
      </w:pPr>
      <w:r w:rsidRPr="00514236">
        <w:t xml:space="preserve">PËR HEQJEN NGA FONDI PYJOR TË SIPËRFAQEVE TË DY </w:t>
      </w:r>
      <w:r>
        <w:t>NGASTRAVE TË EKONOMISË PYJORE ““</w:t>
      </w:r>
      <w:r w:rsidRPr="00514236">
        <w:t>DHËMBE</w:t>
      </w:r>
      <w:r>
        <w:t>L-KALA”, PËRMET”, QË DO TË PËRDOREN NGA “CFF”</w:t>
      </w:r>
      <w:r w:rsidRPr="00514236">
        <w:t xml:space="preserve"> SHPK, PËR PRODHIM PLLAKASH GURI DEKORATIV</w:t>
      </w:r>
    </w:p>
    <w:p w:rsidR="00571EC7" w:rsidRPr="004E1EF2" w:rsidRDefault="00571EC7" w:rsidP="00571EC7">
      <w:pPr>
        <w:pStyle w:val="Paragrafi"/>
        <w:rPr>
          <w:sz w:val="12"/>
        </w:rPr>
      </w:pPr>
    </w:p>
    <w:p w:rsidR="00571EC7" w:rsidRPr="00571EC7" w:rsidRDefault="00571EC7" w:rsidP="00571EC7">
      <w:pPr>
        <w:pStyle w:val="BazLigjPropozues"/>
      </w:pPr>
      <w:r w:rsidRPr="00571EC7">
        <w:t>Në mbështetje të nenit 100 të Kushtetutës dhe të shkronjës “b” të pikës 1 të nenit 17 të ligjit nr.9385, datë 4.5.2005 “Për pyjet dhe shërbimin pyjor”, të ndryshuar, me propozimin e Ministrit të Mjedisit, Pyjeve dhe Administrimit të Ujërave dhe të Ministrit të Ekonomisë, Tregtisë dhe Energjetikës, Këshilli i Ministrave</w:t>
      </w:r>
    </w:p>
    <w:p w:rsidR="00571EC7" w:rsidRPr="004E1EF2" w:rsidRDefault="00571EC7" w:rsidP="00571EC7">
      <w:pPr>
        <w:pStyle w:val="Paragrafi"/>
        <w:rPr>
          <w:sz w:val="14"/>
        </w:rPr>
      </w:pPr>
    </w:p>
    <w:p w:rsidR="00571EC7" w:rsidRPr="00514236" w:rsidRDefault="00571EC7" w:rsidP="00571EC7">
      <w:pPr>
        <w:pStyle w:val="VENDOSI"/>
        <w:keepNext w:val="0"/>
      </w:pPr>
      <w:r>
        <w:t>VENDOSI</w:t>
      </w:r>
      <w:r w:rsidRPr="00514236">
        <w:t>:</w:t>
      </w:r>
    </w:p>
    <w:p w:rsidR="00571EC7" w:rsidRPr="004E1EF2" w:rsidRDefault="00571EC7" w:rsidP="00571EC7">
      <w:pPr>
        <w:pStyle w:val="Paragrafi"/>
        <w:rPr>
          <w:sz w:val="14"/>
        </w:rPr>
      </w:pPr>
    </w:p>
    <w:p w:rsidR="00571EC7" w:rsidRPr="00514236" w:rsidRDefault="00571EC7" w:rsidP="00571EC7">
      <w:pPr>
        <w:pStyle w:val="Paragrafi"/>
      </w:pPr>
      <w:r w:rsidRPr="00514236">
        <w:t>1. Sipërfaqet e ngastrave 98</w:t>
      </w:r>
      <w:r>
        <w:t>/a e 99/a, të ekonomisë pyjore “</w:t>
      </w:r>
      <w:r w:rsidRPr="00514236">
        <w:t>“Dhëmbel-Kala”, Përme</w:t>
      </w:r>
      <w:r>
        <w:t>t”, që do të përdoren nga “CFF”</w:t>
      </w:r>
      <w:r w:rsidRPr="00514236">
        <w:t xml:space="preserve"> sh</w:t>
      </w:r>
      <w:r>
        <w:t>.</w:t>
      </w:r>
      <w:r w:rsidRPr="00514236">
        <w:t>p</w:t>
      </w:r>
      <w:r>
        <w:t>.</w:t>
      </w:r>
      <w:r w:rsidRPr="00514236">
        <w:t>k</w:t>
      </w:r>
      <w:r>
        <w:t>.</w:t>
      </w:r>
      <w:r w:rsidRPr="00514236">
        <w:t>, për prodhim guri dekorativ, në një sipërfaqe, gjithsej, 5 ha, të hiqen nga fondi pyjor kombëtar dhe të çregjistrohen nga zëri kadastral “Pyll”, sipas tabelës 1 dhe hartës përkatëse, që i bashkëlidhen këtij vendimi.</w:t>
      </w:r>
    </w:p>
    <w:p w:rsidR="00571EC7" w:rsidRPr="00514236" w:rsidRDefault="00571EC7" w:rsidP="00571EC7">
      <w:pPr>
        <w:pStyle w:val="Paragrafi"/>
      </w:pPr>
      <w:r w:rsidRPr="00514236">
        <w:t>2. Përcaktimin në terren dhe në hartë të kufijve të rinj të fondit pyjor kombëtar, pas heqjes së sipërfaqeve të ngastr</w:t>
      </w:r>
      <w:r>
        <w:t>ave, të përmendura në pikën 1</w:t>
      </w:r>
      <w:r w:rsidRPr="00514236">
        <w:t xml:space="preserve"> të këtij vendimi, si dhe përfundimin e procedurave për pagesat, në përputhje me </w:t>
      </w:r>
      <w:r>
        <w:t>vendimin nr.391, datë 21.6.2006 të Këshillit të Ministrave</w:t>
      </w:r>
      <w:r w:rsidRPr="00514236">
        <w:t xml:space="preserve"> “Për përcaktimin e tarifave në sektorin e pyjeve dhe të kullotave”.</w:t>
      </w:r>
    </w:p>
    <w:p w:rsidR="00571EC7" w:rsidRPr="00514236" w:rsidRDefault="00571EC7" w:rsidP="00571EC7">
      <w:pPr>
        <w:pStyle w:val="Paragrafi"/>
      </w:pPr>
      <w:r>
        <w:t>3. “CFF”</w:t>
      </w:r>
      <w:r w:rsidRPr="00514236">
        <w:t xml:space="preserve"> sh</w:t>
      </w:r>
      <w:r>
        <w:t>.</w:t>
      </w:r>
      <w:r w:rsidRPr="00514236">
        <w:t>p</w:t>
      </w:r>
      <w:r>
        <w:t>.</w:t>
      </w:r>
      <w:r w:rsidRPr="00514236">
        <w:t>k</w:t>
      </w:r>
      <w:r>
        <w:t>.</w:t>
      </w:r>
      <w:r w:rsidRPr="00514236">
        <w:t>, brenda 2 vjetëve nga hyrja në fuqi e këtij vendimi, të pyllëzojë, me shpenzimet e veta, 5 ha me pyje, sipas ngastrave të përcaktuara nga drejtoria e shërbimit pyjor.</w:t>
      </w:r>
    </w:p>
    <w:p w:rsidR="00571EC7" w:rsidRPr="00514236" w:rsidRDefault="00571EC7" w:rsidP="00571EC7">
      <w:pPr>
        <w:pStyle w:val="Paragrafi"/>
      </w:pPr>
      <w:r w:rsidRPr="00514236">
        <w:t>4. Ngarkohet Ministria e Mjedisit, Pyjeve dhe Administrimit të Ujërave për zbatimin e këtij vendimi.</w:t>
      </w:r>
    </w:p>
    <w:p w:rsidR="00571EC7" w:rsidRPr="00514236" w:rsidRDefault="00571EC7" w:rsidP="00571EC7">
      <w:pPr>
        <w:pStyle w:val="Paragrafi"/>
      </w:pPr>
      <w:r w:rsidRPr="00514236">
        <w:t>Ky ven</w:t>
      </w:r>
      <w:r>
        <w:t>dim hyn në fuqi pas botimit në Fletoren Zyrtare</w:t>
      </w:r>
      <w:r w:rsidRPr="00514236">
        <w:t>.</w:t>
      </w:r>
    </w:p>
    <w:p w:rsidR="00571EC7" w:rsidRPr="00514236" w:rsidRDefault="00571EC7" w:rsidP="00571EC7">
      <w:pPr>
        <w:pStyle w:val="Autoriteti"/>
        <w:keepNext w:val="0"/>
      </w:pPr>
      <w:r>
        <w:t>KRYEMINISTR</w:t>
      </w:r>
      <w:r w:rsidRPr="00514236">
        <w:t>I</w:t>
      </w:r>
    </w:p>
    <w:p w:rsidR="00571EC7" w:rsidRPr="00514236" w:rsidRDefault="00571EC7" w:rsidP="00571EC7">
      <w:pPr>
        <w:pStyle w:val="AutoritetiEmer"/>
      </w:pPr>
      <w:r w:rsidRPr="00514236">
        <w:t>Sali  Berisha</w:t>
      </w:r>
    </w:p>
    <w:p w:rsidR="00571EC7" w:rsidRPr="00514236" w:rsidRDefault="00571EC7" w:rsidP="00571EC7">
      <w:pPr>
        <w:pStyle w:val="Paragrafi"/>
      </w:pPr>
      <w:r w:rsidRPr="00514236">
        <w:br/>
      </w:r>
    </w:p>
    <w:p w:rsidR="00571EC7" w:rsidRDefault="009621C9" w:rsidP="00571EC7">
      <w:pPr>
        <w:pStyle w:val="Paragrafi"/>
        <w:sectPr w:rsidR="00571EC7" w:rsidSect="00571EC7">
          <w:pgSz w:w="11907" w:h="16840" w:code="9"/>
          <w:pgMar w:top="1418" w:right="1418" w:bottom="1418" w:left="1418" w:header="1304" w:footer="1134" w:gutter="0"/>
          <w:pgNumType w:start="7743"/>
          <w:cols w:space="720"/>
          <w:docGrid w:linePitch="360"/>
        </w:sectPr>
      </w:pPr>
      <w:r w:rsidRPr="001B73B8">
        <w:rPr>
          <w:noProof/>
          <w:lang w:val="en-GB" w:eastAsia="en-GB"/>
        </w:rPr>
        <w:drawing>
          <wp:inline distT="0" distB="0" distL="0" distR="0">
            <wp:extent cx="5457825" cy="3838575"/>
            <wp:effectExtent l="19050" t="19050" r="28575" b="285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383857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71EC7" w:rsidRDefault="00571EC7" w:rsidP="00571EC7">
      <w:pPr>
        <w:pStyle w:val="Paragrafi"/>
      </w:pPr>
    </w:p>
    <w:p w:rsidR="00571EC7" w:rsidRDefault="00571EC7" w:rsidP="00571EC7">
      <w:pPr>
        <w:pStyle w:val="Paragrafi"/>
      </w:pPr>
    </w:p>
    <w:p w:rsidR="00571EC7" w:rsidRDefault="00571EC7" w:rsidP="00571EC7">
      <w:pPr>
        <w:pStyle w:val="TitulliTitull"/>
      </w:pPr>
      <w:r>
        <w:t>Tabela nr.1</w:t>
      </w:r>
    </w:p>
    <w:p w:rsidR="00571EC7" w:rsidRDefault="00571EC7" w:rsidP="00571EC7">
      <w:pPr>
        <w:pStyle w:val="TitulliTitull"/>
      </w:pPr>
      <w:r>
        <w:t>Ngastra që kërkohen për heqje nga fondi pyjor</w:t>
      </w:r>
    </w:p>
    <w:p w:rsidR="00571EC7" w:rsidRDefault="00571EC7" w:rsidP="00571EC7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04"/>
        <w:gridCol w:w="1944"/>
        <w:gridCol w:w="1256"/>
        <w:gridCol w:w="1438"/>
        <w:gridCol w:w="1805"/>
        <w:gridCol w:w="2148"/>
        <w:gridCol w:w="1097"/>
        <w:gridCol w:w="1607"/>
        <w:gridCol w:w="1629"/>
      </w:tblGrid>
      <w:tr w:rsidR="00571EC7">
        <w:tc>
          <w:tcPr>
            <w:tcW w:w="504" w:type="dxa"/>
          </w:tcPr>
          <w:p w:rsidR="00571EC7" w:rsidRDefault="00571EC7" w:rsidP="00571EC7">
            <w:pPr>
              <w:pStyle w:val="Paragrafi"/>
              <w:ind w:firstLine="0"/>
              <w:jc w:val="center"/>
            </w:pPr>
            <w:r>
              <w:t>Nr.</w:t>
            </w:r>
          </w:p>
        </w:tc>
        <w:tc>
          <w:tcPr>
            <w:tcW w:w="1944" w:type="dxa"/>
          </w:tcPr>
          <w:p w:rsidR="00571EC7" w:rsidRDefault="00571EC7" w:rsidP="00571EC7">
            <w:pPr>
              <w:pStyle w:val="Paragrafi"/>
              <w:ind w:firstLine="0"/>
              <w:jc w:val="center"/>
            </w:pPr>
            <w:r>
              <w:t>Ekonomia pyjore</w:t>
            </w:r>
          </w:p>
        </w:tc>
        <w:tc>
          <w:tcPr>
            <w:tcW w:w="1256" w:type="dxa"/>
          </w:tcPr>
          <w:p w:rsidR="00571EC7" w:rsidRDefault="00571EC7" w:rsidP="00571EC7">
            <w:pPr>
              <w:pStyle w:val="Paragrafi"/>
              <w:ind w:firstLine="0"/>
              <w:jc w:val="center"/>
            </w:pPr>
            <w:r>
              <w:t>Ngastra, n/ngastra</w:t>
            </w:r>
          </w:p>
        </w:tc>
        <w:tc>
          <w:tcPr>
            <w:tcW w:w="1438" w:type="dxa"/>
          </w:tcPr>
          <w:p w:rsidR="00571EC7" w:rsidRDefault="00571EC7" w:rsidP="00571EC7">
            <w:pPr>
              <w:pStyle w:val="Paragrafi"/>
              <w:ind w:firstLine="0"/>
              <w:jc w:val="center"/>
            </w:pPr>
            <w:r>
              <w:t>Kërkuar ha</w:t>
            </w:r>
          </w:p>
        </w:tc>
        <w:tc>
          <w:tcPr>
            <w:tcW w:w="1805" w:type="dxa"/>
          </w:tcPr>
          <w:p w:rsidR="00571EC7" w:rsidRDefault="00571EC7" w:rsidP="00571EC7">
            <w:pPr>
              <w:pStyle w:val="Paragrafi"/>
              <w:ind w:firstLine="0"/>
              <w:jc w:val="center"/>
            </w:pPr>
            <w:r>
              <w:t>Zëri kadastral</w:t>
            </w:r>
          </w:p>
        </w:tc>
        <w:tc>
          <w:tcPr>
            <w:tcW w:w="2148" w:type="dxa"/>
          </w:tcPr>
          <w:p w:rsidR="00571EC7" w:rsidRDefault="00571EC7" w:rsidP="00571EC7">
            <w:pPr>
              <w:pStyle w:val="Paragrafi"/>
              <w:ind w:firstLine="0"/>
              <w:jc w:val="center"/>
            </w:pPr>
            <w:r>
              <w:t>Forma e qeverimit</w:t>
            </w:r>
          </w:p>
        </w:tc>
        <w:tc>
          <w:tcPr>
            <w:tcW w:w="1097" w:type="dxa"/>
          </w:tcPr>
          <w:p w:rsidR="00571EC7" w:rsidRDefault="00571EC7" w:rsidP="00571EC7">
            <w:pPr>
              <w:pStyle w:val="Paragrafi"/>
              <w:ind w:firstLine="0"/>
              <w:jc w:val="center"/>
            </w:pPr>
            <w:r>
              <w:t>Funksioni</w:t>
            </w:r>
          </w:p>
        </w:tc>
        <w:tc>
          <w:tcPr>
            <w:tcW w:w="1607" w:type="dxa"/>
          </w:tcPr>
          <w:p w:rsidR="00571EC7" w:rsidRDefault="00571EC7" w:rsidP="00571EC7">
            <w:pPr>
              <w:pStyle w:val="Paragrafi"/>
              <w:ind w:firstLine="0"/>
              <w:jc w:val="center"/>
            </w:pPr>
            <w:r>
              <w:t>Pronësia</w:t>
            </w:r>
          </w:p>
        </w:tc>
        <w:tc>
          <w:tcPr>
            <w:tcW w:w="1629" w:type="dxa"/>
          </w:tcPr>
          <w:p w:rsidR="00571EC7" w:rsidRDefault="00571EC7" w:rsidP="00571EC7">
            <w:pPr>
              <w:pStyle w:val="Paragrafi"/>
              <w:ind w:firstLine="0"/>
              <w:jc w:val="center"/>
            </w:pPr>
            <w:r>
              <w:t>Objekti</w:t>
            </w:r>
          </w:p>
        </w:tc>
      </w:tr>
      <w:tr w:rsidR="00571EC7">
        <w:tc>
          <w:tcPr>
            <w:tcW w:w="504" w:type="dxa"/>
          </w:tcPr>
          <w:p w:rsidR="00571EC7" w:rsidRDefault="00571EC7" w:rsidP="00571EC7">
            <w:pPr>
              <w:pStyle w:val="Paragrafi"/>
              <w:ind w:firstLine="0"/>
            </w:pPr>
            <w:r>
              <w:t>1</w:t>
            </w:r>
          </w:p>
        </w:tc>
        <w:tc>
          <w:tcPr>
            <w:tcW w:w="1944" w:type="dxa"/>
          </w:tcPr>
          <w:p w:rsidR="00571EC7" w:rsidRDefault="00571EC7" w:rsidP="00571EC7">
            <w:pPr>
              <w:pStyle w:val="Paragrafi"/>
              <w:ind w:firstLine="0"/>
            </w:pPr>
            <w:r>
              <w:t>EP Dhëmbel-Kala</w:t>
            </w:r>
          </w:p>
        </w:tc>
        <w:tc>
          <w:tcPr>
            <w:tcW w:w="1256" w:type="dxa"/>
          </w:tcPr>
          <w:p w:rsidR="00571EC7" w:rsidRDefault="00571EC7" w:rsidP="00571EC7">
            <w:pPr>
              <w:pStyle w:val="Paragrafi"/>
              <w:ind w:firstLine="0"/>
            </w:pPr>
            <w:r>
              <w:t>98/a</w:t>
            </w:r>
          </w:p>
        </w:tc>
        <w:tc>
          <w:tcPr>
            <w:tcW w:w="1438" w:type="dxa"/>
          </w:tcPr>
          <w:p w:rsidR="00571EC7" w:rsidRDefault="00571EC7" w:rsidP="00571EC7">
            <w:pPr>
              <w:pStyle w:val="Paragrafi"/>
              <w:ind w:firstLine="0"/>
            </w:pPr>
            <w:r>
              <w:t>4.625</w:t>
            </w:r>
          </w:p>
        </w:tc>
        <w:tc>
          <w:tcPr>
            <w:tcW w:w="1805" w:type="dxa"/>
          </w:tcPr>
          <w:p w:rsidR="00571EC7" w:rsidRDefault="00571EC7" w:rsidP="00571EC7">
            <w:pPr>
              <w:pStyle w:val="Paragrafi"/>
              <w:ind w:firstLine="0"/>
            </w:pPr>
            <w:r>
              <w:t>Pyll</w:t>
            </w:r>
          </w:p>
        </w:tc>
        <w:tc>
          <w:tcPr>
            <w:tcW w:w="2148" w:type="dxa"/>
          </w:tcPr>
          <w:p w:rsidR="00571EC7" w:rsidRDefault="00571EC7" w:rsidP="00571EC7">
            <w:pPr>
              <w:pStyle w:val="Paragrafi"/>
              <w:ind w:firstLine="0"/>
            </w:pPr>
            <w:r>
              <w:t>Shkurre</w:t>
            </w:r>
          </w:p>
        </w:tc>
        <w:tc>
          <w:tcPr>
            <w:tcW w:w="1097" w:type="dxa"/>
          </w:tcPr>
          <w:p w:rsidR="00571EC7" w:rsidRDefault="00571EC7" w:rsidP="00571EC7">
            <w:pPr>
              <w:pStyle w:val="Paragrafi"/>
              <w:ind w:firstLine="0"/>
            </w:pPr>
            <w:r>
              <w:t>Prodhues</w:t>
            </w:r>
          </w:p>
        </w:tc>
        <w:tc>
          <w:tcPr>
            <w:tcW w:w="1607" w:type="dxa"/>
          </w:tcPr>
          <w:p w:rsidR="00571EC7" w:rsidRDefault="00571EC7" w:rsidP="00571EC7">
            <w:pPr>
              <w:pStyle w:val="Paragrafi"/>
              <w:ind w:firstLine="0"/>
            </w:pPr>
            <w:r>
              <w:t xml:space="preserve">Publike </w:t>
            </w:r>
          </w:p>
        </w:tc>
        <w:tc>
          <w:tcPr>
            <w:tcW w:w="1629" w:type="dxa"/>
          </w:tcPr>
          <w:p w:rsidR="00571EC7" w:rsidRDefault="00571EC7" w:rsidP="00571EC7">
            <w:pPr>
              <w:pStyle w:val="Paragrafi"/>
              <w:ind w:firstLine="0"/>
            </w:pPr>
            <w:r>
              <w:t>Karrier guri</w:t>
            </w:r>
          </w:p>
        </w:tc>
      </w:tr>
      <w:tr w:rsidR="00571EC7">
        <w:tc>
          <w:tcPr>
            <w:tcW w:w="504" w:type="dxa"/>
          </w:tcPr>
          <w:p w:rsidR="00571EC7" w:rsidRDefault="00571EC7" w:rsidP="00571EC7">
            <w:pPr>
              <w:pStyle w:val="Paragrafi"/>
              <w:ind w:firstLine="0"/>
            </w:pPr>
            <w:r>
              <w:t>2</w:t>
            </w:r>
          </w:p>
        </w:tc>
        <w:tc>
          <w:tcPr>
            <w:tcW w:w="1944" w:type="dxa"/>
          </w:tcPr>
          <w:p w:rsidR="00571EC7" w:rsidRDefault="00571EC7" w:rsidP="00571EC7">
            <w:pPr>
              <w:pStyle w:val="Paragrafi"/>
              <w:ind w:firstLine="0"/>
            </w:pPr>
            <w:r>
              <w:t>EP Dhëmbel-Kala</w:t>
            </w:r>
          </w:p>
        </w:tc>
        <w:tc>
          <w:tcPr>
            <w:tcW w:w="1256" w:type="dxa"/>
          </w:tcPr>
          <w:p w:rsidR="00571EC7" w:rsidRDefault="00571EC7" w:rsidP="00571EC7">
            <w:pPr>
              <w:pStyle w:val="Paragrafi"/>
              <w:ind w:firstLine="0"/>
            </w:pPr>
            <w:r>
              <w:t>99/a</w:t>
            </w:r>
          </w:p>
        </w:tc>
        <w:tc>
          <w:tcPr>
            <w:tcW w:w="1438" w:type="dxa"/>
          </w:tcPr>
          <w:p w:rsidR="00571EC7" w:rsidRDefault="00571EC7" w:rsidP="00571EC7">
            <w:pPr>
              <w:pStyle w:val="Paragrafi"/>
              <w:ind w:firstLine="0"/>
            </w:pPr>
            <w:r>
              <w:t>0.375</w:t>
            </w:r>
          </w:p>
        </w:tc>
        <w:tc>
          <w:tcPr>
            <w:tcW w:w="1805" w:type="dxa"/>
          </w:tcPr>
          <w:p w:rsidR="00571EC7" w:rsidRDefault="00571EC7" w:rsidP="00571EC7">
            <w:pPr>
              <w:pStyle w:val="Paragrafi"/>
              <w:ind w:firstLine="0"/>
            </w:pPr>
            <w:r>
              <w:t>Pyll</w:t>
            </w:r>
          </w:p>
        </w:tc>
        <w:tc>
          <w:tcPr>
            <w:tcW w:w="2148" w:type="dxa"/>
          </w:tcPr>
          <w:p w:rsidR="00571EC7" w:rsidRDefault="00571EC7" w:rsidP="00571EC7">
            <w:pPr>
              <w:pStyle w:val="Paragrafi"/>
              <w:ind w:firstLine="0"/>
            </w:pPr>
            <w:r>
              <w:t>shkurre</w:t>
            </w:r>
          </w:p>
        </w:tc>
        <w:tc>
          <w:tcPr>
            <w:tcW w:w="1097" w:type="dxa"/>
          </w:tcPr>
          <w:p w:rsidR="00571EC7" w:rsidRDefault="00571EC7" w:rsidP="00571EC7">
            <w:pPr>
              <w:pStyle w:val="Paragrafi"/>
              <w:ind w:firstLine="0"/>
            </w:pPr>
            <w:r>
              <w:t>prodhues</w:t>
            </w:r>
          </w:p>
        </w:tc>
        <w:tc>
          <w:tcPr>
            <w:tcW w:w="1607" w:type="dxa"/>
          </w:tcPr>
          <w:p w:rsidR="00571EC7" w:rsidRDefault="00571EC7" w:rsidP="00571EC7">
            <w:pPr>
              <w:pStyle w:val="Paragrafi"/>
              <w:ind w:firstLine="0"/>
            </w:pPr>
            <w:r>
              <w:t>publike</w:t>
            </w:r>
          </w:p>
        </w:tc>
        <w:tc>
          <w:tcPr>
            <w:tcW w:w="1629" w:type="dxa"/>
          </w:tcPr>
          <w:p w:rsidR="00571EC7" w:rsidRDefault="00571EC7" w:rsidP="00571EC7">
            <w:pPr>
              <w:pStyle w:val="Paragrafi"/>
              <w:ind w:firstLine="0"/>
            </w:pPr>
            <w:r>
              <w:t>Karrier guri</w:t>
            </w:r>
          </w:p>
        </w:tc>
      </w:tr>
      <w:tr w:rsidR="00571EC7">
        <w:tc>
          <w:tcPr>
            <w:tcW w:w="504" w:type="dxa"/>
          </w:tcPr>
          <w:p w:rsidR="00571EC7" w:rsidRDefault="00571EC7" w:rsidP="00571EC7">
            <w:pPr>
              <w:pStyle w:val="Paragrafi"/>
              <w:ind w:firstLine="0"/>
            </w:pPr>
          </w:p>
        </w:tc>
        <w:tc>
          <w:tcPr>
            <w:tcW w:w="1944" w:type="dxa"/>
          </w:tcPr>
          <w:p w:rsidR="00571EC7" w:rsidRDefault="00571EC7" w:rsidP="00571EC7">
            <w:pPr>
              <w:pStyle w:val="Paragrafi"/>
              <w:ind w:firstLine="0"/>
            </w:pPr>
          </w:p>
        </w:tc>
        <w:tc>
          <w:tcPr>
            <w:tcW w:w="1256" w:type="dxa"/>
          </w:tcPr>
          <w:p w:rsidR="00571EC7" w:rsidRDefault="00571EC7" w:rsidP="00571EC7">
            <w:pPr>
              <w:pStyle w:val="Paragrafi"/>
              <w:ind w:firstLine="0"/>
            </w:pPr>
          </w:p>
        </w:tc>
        <w:tc>
          <w:tcPr>
            <w:tcW w:w="1438" w:type="dxa"/>
          </w:tcPr>
          <w:p w:rsidR="00571EC7" w:rsidRDefault="00571EC7" w:rsidP="00571EC7">
            <w:pPr>
              <w:pStyle w:val="Paragrafi"/>
              <w:ind w:firstLine="0"/>
            </w:pPr>
            <w:r>
              <w:t>5.00</w:t>
            </w:r>
          </w:p>
        </w:tc>
        <w:tc>
          <w:tcPr>
            <w:tcW w:w="1805" w:type="dxa"/>
          </w:tcPr>
          <w:p w:rsidR="00571EC7" w:rsidRDefault="00571EC7" w:rsidP="00571EC7">
            <w:pPr>
              <w:pStyle w:val="Paragrafi"/>
              <w:ind w:firstLine="0"/>
            </w:pPr>
          </w:p>
        </w:tc>
        <w:tc>
          <w:tcPr>
            <w:tcW w:w="2148" w:type="dxa"/>
          </w:tcPr>
          <w:p w:rsidR="00571EC7" w:rsidRDefault="00571EC7" w:rsidP="00571EC7">
            <w:pPr>
              <w:pStyle w:val="Paragrafi"/>
              <w:ind w:firstLine="0"/>
            </w:pPr>
          </w:p>
        </w:tc>
        <w:tc>
          <w:tcPr>
            <w:tcW w:w="1097" w:type="dxa"/>
          </w:tcPr>
          <w:p w:rsidR="00571EC7" w:rsidRDefault="00571EC7" w:rsidP="00571EC7">
            <w:pPr>
              <w:pStyle w:val="Paragrafi"/>
              <w:ind w:firstLine="0"/>
            </w:pPr>
          </w:p>
        </w:tc>
        <w:tc>
          <w:tcPr>
            <w:tcW w:w="1607" w:type="dxa"/>
          </w:tcPr>
          <w:p w:rsidR="00571EC7" w:rsidRDefault="00571EC7" w:rsidP="00571EC7">
            <w:pPr>
              <w:pStyle w:val="Paragrafi"/>
              <w:ind w:firstLine="0"/>
            </w:pPr>
          </w:p>
        </w:tc>
        <w:tc>
          <w:tcPr>
            <w:tcW w:w="1629" w:type="dxa"/>
          </w:tcPr>
          <w:p w:rsidR="00571EC7" w:rsidRDefault="00571EC7" w:rsidP="00571EC7">
            <w:pPr>
              <w:pStyle w:val="Paragrafi"/>
              <w:ind w:firstLine="0"/>
            </w:pPr>
          </w:p>
        </w:tc>
      </w:tr>
    </w:tbl>
    <w:p w:rsidR="00571EC7" w:rsidRDefault="00571EC7" w:rsidP="00571EC7">
      <w:pPr>
        <w:pStyle w:val="Paragrafi"/>
      </w:pPr>
    </w:p>
    <w:p w:rsidR="00571EC7" w:rsidRDefault="00571EC7" w:rsidP="00571EC7">
      <w:pPr>
        <w:pStyle w:val="Akti"/>
        <w:keepNext w:val="0"/>
      </w:pPr>
    </w:p>
    <w:p w:rsidR="00571EC7" w:rsidRDefault="00571EC7" w:rsidP="00571EC7">
      <w:pPr>
        <w:pStyle w:val="Akti"/>
        <w:keepNext w:val="0"/>
      </w:pPr>
    </w:p>
    <w:p w:rsidR="00571EC7" w:rsidRDefault="00571EC7" w:rsidP="00571EC7">
      <w:pPr>
        <w:pStyle w:val="Akti"/>
        <w:keepNext w:val="0"/>
      </w:pPr>
    </w:p>
    <w:p w:rsidR="00571EC7" w:rsidRDefault="00571EC7" w:rsidP="00571EC7">
      <w:pPr>
        <w:pStyle w:val="Akti"/>
        <w:keepNext w:val="0"/>
      </w:pPr>
    </w:p>
    <w:p w:rsidR="00571EC7" w:rsidRDefault="00571EC7" w:rsidP="00571EC7">
      <w:pPr>
        <w:pStyle w:val="Akti"/>
        <w:keepNext w:val="0"/>
      </w:pPr>
    </w:p>
    <w:p w:rsidR="00571EC7" w:rsidRDefault="00571EC7" w:rsidP="00571EC7">
      <w:pPr>
        <w:pStyle w:val="Akti"/>
        <w:keepNext w:val="0"/>
      </w:pPr>
    </w:p>
    <w:p w:rsidR="00571EC7" w:rsidRDefault="00571EC7" w:rsidP="00571EC7">
      <w:pPr>
        <w:pStyle w:val="Akti"/>
        <w:keepNext w:val="0"/>
      </w:pPr>
    </w:p>
    <w:p w:rsidR="00571EC7" w:rsidRDefault="00571EC7" w:rsidP="00571EC7">
      <w:pPr>
        <w:pStyle w:val="Akti"/>
        <w:keepNext w:val="0"/>
      </w:pPr>
    </w:p>
    <w:p w:rsidR="00571EC7" w:rsidRDefault="00571EC7" w:rsidP="00571EC7">
      <w:pPr>
        <w:pStyle w:val="Akti"/>
        <w:keepNext w:val="0"/>
      </w:pPr>
    </w:p>
    <w:p w:rsidR="00571EC7" w:rsidRDefault="00571EC7" w:rsidP="00571EC7">
      <w:pPr>
        <w:pStyle w:val="Akti"/>
        <w:keepNext w:val="0"/>
      </w:pPr>
    </w:p>
    <w:p w:rsidR="00571EC7" w:rsidRDefault="00571EC7" w:rsidP="00571EC7">
      <w:pPr>
        <w:pStyle w:val="Akti"/>
        <w:keepNext w:val="0"/>
      </w:pPr>
    </w:p>
    <w:p w:rsidR="00571EC7" w:rsidRDefault="00571EC7" w:rsidP="00571EC7">
      <w:pPr>
        <w:pStyle w:val="Akti"/>
        <w:keepNext w:val="0"/>
      </w:pPr>
    </w:p>
    <w:p w:rsidR="00571EC7" w:rsidRDefault="00571EC7" w:rsidP="00571EC7">
      <w:pPr>
        <w:pStyle w:val="Akti"/>
        <w:keepNext w:val="0"/>
        <w:jc w:val="left"/>
        <w:sectPr w:rsidR="00571EC7" w:rsidSect="00571EC7">
          <w:footerReference w:type="even" r:id="rId8"/>
          <w:footerReference w:type="default" r:id="rId9"/>
          <w:pgSz w:w="16840" w:h="11907" w:orient="landscape" w:code="9"/>
          <w:pgMar w:top="1418" w:right="1418" w:bottom="1418" w:left="1418" w:header="1304" w:footer="1134" w:gutter="0"/>
          <w:pgNumType w:start="7755"/>
          <w:cols w:space="720"/>
          <w:docGrid w:linePitch="360"/>
        </w:sectPr>
      </w:pPr>
    </w:p>
    <w:p w:rsidR="00155FB1" w:rsidRDefault="00155FB1" w:rsidP="00571EC7">
      <w:pPr>
        <w:pStyle w:val="Paragrafi"/>
      </w:pPr>
    </w:p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621C9">
      <w:r>
        <w:separator/>
      </w:r>
    </w:p>
  </w:endnote>
  <w:endnote w:type="continuationSeparator" w:id="0">
    <w:p w:rsidR="00000000" w:rsidRDefault="00962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1EC7" w:rsidRDefault="00571EC7" w:rsidP="00571EC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71EC7" w:rsidRDefault="00571EC7" w:rsidP="00571EC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1EC7" w:rsidRPr="00FE59E1" w:rsidRDefault="00571EC7" w:rsidP="00571EC7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FE59E1">
      <w:rPr>
        <w:rStyle w:val="PageNumber"/>
        <w:rFonts w:ascii="CG Times" w:hAnsi="CG Times"/>
        <w:sz w:val="22"/>
        <w:szCs w:val="22"/>
      </w:rPr>
      <w:fldChar w:fldCharType="begin"/>
    </w:r>
    <w:r w:rsidRPr="00FE59E1">
      <w:rPr>
        <w:rStyle w:val="PageNumber"/>
        <w:rFonts w:ascii="CG Times" w:hAnsi="CG Times"/>
        <w:sz w:val="22"/>
        <w:szCs w:val="22"/>
      </w:rPr>
      <w:instrText xml:space="preserve">PAGE  </w:instrText>
    </w:r>
    <w:r w:rsidRPr="00FE59E1">
      <w:rPr>
        <w:rStyle w:val="PageNumber"/>
        <w:rFonts w:ascii="CG Times" w:hAnsi="CG Times"/>
        <w:sz w:val="22"/>
        <w:szCs w:val="22"/>
      </w:rPr>
      <w:fldChar w:fldCharType="separate"/>
    </w:r>
    <w:r w:rsidR="009621C9">
      <w:rPr>
        <w:rStyle w:val="PageNumber"/>
        <w:rFonts w:ascii="CG Times" w:hAnsi="CG Times"/>
        <w:noProof/>
        <w:sz w:val="22"/>
        <w:szCs w:val="22"/>
      </w:rPr>
      <w:t>7755</w:t>
    </w:r>
    <w:r w:rsidRPr="00FE59E1">
      <w:rPr>
        <w:rStyle w:val="PageNumber"/>
        <w:rFonts w:ascii="CG Times" w:hAnsi="CG Times"/>
        <w:sz w:val="22"/>
        <w:szCs w:val="22"/>
      </w:rPr>
      <w:fldChar w:fldCharType="end"/>
    </w:r>
  </w:p>
  <w:p w:rsidR="00571EC7" w:rsidRDefault="00571EC7" w:rsidP="00571EC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621C9">
      <w:r>
        <w:separator/>
      </w:r>
    </w:p>
  </w:footnote>
  <w:footnote w:type="continuationSeparator" w:id="0">
    <w:p w:rsidR="00000000" w:rsidRDefault="009621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71EC7"/>
    <w:rsid w:val="00093BA7"/>
    <w:rsid w:val="00155FB1"/>
    <w:rsid w:val="00427864"/>
    <w:rsid w:val="00571EC7"/>
    <w:rsid w:val="009621C9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ACFEEB-E256-47C5-B1F7-66A4C02AF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1EC7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571EC7"/>
    <w:rPr>
      <w:rFonts w:ascii="CG Times" w:eastAsia="MS Mincho" w:hAnsi="CG Times"/>
      <w:sz w:val="22"/>
      <w:lang w:val="en-US" w:eastAsia="en-US" w:bidi="ar-SA"/>
    </w:rPr>
  </w:style>
  <w:style w:type="table" w:styleId="TableGrid">
    <w:name w:val="Table Grid"/>
    <w:basedOn w:val="TableNormal"/>
    <w:rsid w:val="00571EC7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571EC7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571EC7"/>
    <w:rPr>
      <w:rFonts w:ascii="Tahoma" w:eastAsia="MS Mincho" w:hAnsi="Tahoma"/>
      <w:lang w:val="en-GB" w:eastAsia="en-GB" w:bidi="ar-SA"/>
    </w:rPr>
  </w:style>
  <w:style w:type="character" w:customStyle="1" w:styleId="AutoritetiEmerChar">
    <w:name w:val="Autoriteti_Emer Char"/>
    <w:basedOn w:val="DefaultParagraphFont"/>
    <w:link w:val="AutoritetiEmer"/>
    <w:rsid w:val="00571EC7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71EC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71EC7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2019-03-16T19:55:00Z</dcterms:created>
  <dcterms:modified xsi:type="dcterms:W3CDTF">2019-03-16T19:55:00Z</dcterms:modified>
</cp:coreProperties>
</file>