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52E" w:rsidRPr="009406D6" w:rsidRDefault="001B352E" w:rsidP="001B352E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9406D6">
        <w:rPr>
          <w:rFonts w:eastAsia="MS Mincho"/>
        </w:rPr>
        <w:t>M</w:t>
      </w:r>
    </w:p>
    <w:p w:rsidR="001B352E" w:rsidRPr="009406D6" w:rsidRDefault="001B352E" w:rsidP="001B352E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Nr.1424,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10.10.2008 </w:t>
      </w:r>
    </w:p>
    <w:p w:rsidR="001B352E" w:rsidRPr="009406D6" w:rsidRDefault="001B352E" w:rsidP="001B352E">
      <w:pPr>
        <w:pStyle w:val="Paragrafi"/>
        <w:rPr>
          <w:rFonts w:eastAsia="MS Mincho"/>
          <w:lang w:val="en-GB"/>
        </w:rPr>
      </w:pPr>
    </w:p>
    <w:p w:rsidR="001B352E" w:rsidRDefault="001B352E" w:rsidP="001B352E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 xml:space="preserve">PËR DISA SHTESA NË </w:t>
      </w:r>
      <w:r>
        <w:rPr>
          <w:rFonts w:eastAsia="MS Mincho"/>
        </w:rPr>
        <w:t>VENDIMIN NR.478, DATË 18.7.2007 TË KËSHILLIT TË MINISTRAVE</w:t>
      </w:r>
      <w:r w:rsidRPr="009406D6">
        <w:rPr>
          <w:rFonts w:eastAsia="MS Mincho"/>
        </w:rPr>
        <w:t xml:space="preserve"> “PËR MIRATIMIN E STRUKTURËS DHE TË NIVELEVE TË PAGAVE TË NËPUNËSVE TË DISA INSTITUCIONEVE, NË VARËSI TË MINISTRAVE TË LINJËS”, </w:t>
      </w:r>
    </w:p>
    <w:p w:rsidR="001B352E" w:rsidRPr="009406D6" w:rsidRDefault="001B352E" w:rsidP="001B352E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>TË NDRYSHUAR</w:t>
      </w:r>
    </w:p>
    <w:p w:rsidR="001B352E" w:rsidRDefault="001B352E" w:rsidP="001B352E">
      <w:pPr>
        <w:pStyle w:val="Paragrafi"/>
        <w:rPr>
          <w:rFonts w:eastAsia="MS Mincho"/>
          <w:lang w:val="en-GB"/>
        </w:rPr>
      </w:pPr>
    </w:p>
    <w:p w:rsidR="001B352E" w:rsidRPr="009406D6" w:rsidRDefault="001B352E" w:rsidP="001B352E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Në mbështetje të nenit 1</w:t>
      </w:r>
      <w:r>
        <w:rPr>
          <w:rFonts w:eastAsia="MS Mincho"/>
          <w:lang w:val="en-GB"/>
        </w:rPr>
        <w:t>00 të Kushtetutës, të nenit 5/1</w:t>
      </w:r>
      <w:r w:rsidRPr="009406D6">
        <w:rPr>
          <w:rFonts w:eastAsia="MS Mincho"/>
          <w:lang w:val="en-GB"/>
        </w:rPr>
        <w:t xml:space="preserve"> të</w:t>
      </w:r>
      <w:r>
        <w:rPr>
          <w:rFonts w:eastAsia="MS Mincho"/>
          <w:lang w:val="en-GB"/>
        </w:rPr>
        <w:t xml:space="preserve"> ligjit nr.8487, datë 13.5.1999</w:t>
      </w:r>
      <w:r w:rsidRPr="009406D6">
        <w:rPr>
          <w:rFonts w:eastAsia="MS Mincho"/>
          <w:lang w:val="en-GB"/>
        </w:rPr>
        <w:t xml:space="preserve"> “Për kompetencat për caktimin e pagave të punës”, të ndryshuar,  dhe të ligjit nr.9836, datë 26.11.2007 </w:t>
      </w:r>
      <w:r>
        <w:rPr>
          <w:rFonts w:eastAsia="MS Mincho"/>
          <w:lang w:val="en-GB"/>
        </w:rPr>
        <w:t>“Për Buxhetin e Shtetit</w:t>
      </w:r>
      <w:r w:rsidRPr="009406D6">
        <w:rPr>
          <w:rFonts w:eastAsia="MS Mincho"/>
          <w:lang w:val="en-GB"/>
        </w:rPr>
        <w:t xml:space="preserve"> të vitit 2008”,</w:t>
      </w:r>
      <w:r>
        <w:rPr>
          <w:rFonts w:eastAsia="MS Mincho"/>
          <w:lang w:val="en-GB"/>
        </w:rPr>
        <w:t xml:space="preserve"> të ndryshuar, me propozimin e Ministrit të Brendshëm dhe të M</w:t>
      </w:r>
      <w:r w:rsidRPr="009406D6">
        <w:rPr>
          <w:rFonts w:eastAsia="MS Mincho"/>
          <w:lang w:val="en-GB"/>
        </w:rPr>
        <w:t>inistrit të Financave, Këshilli i Ministrave</w:t>
      </w:r>
    </w:p>
    <w:p w:rsidR="001B352E" w:rsidRDefault="001B352E" w:rsidP="001B352E">
      <w:pPr>
        <w:pStyle w:val="Paragrafi"/>
        <w:rPr>
          <w:rFonts w:eastAsia="MS Mincho"/>
          <w:lang w:val="en-GB"/>
        </w:rPr>
      </w:pPr>
    </w:p>
    <w:p w:rsidR="001B352E" w:rsidRPr="009406D6" w:rsidRDefault="001B352E" w:rsidP="001B352E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9406D6">
        <w:rPr>
          <w:rFonts w:eastAsia="MS Mincho"/>
        </w:rPr>
        <w:t>I:</w:t>
      </w:r>
    </w:p>
    <w:p w:rsidR="001B352E" w:rsidRDefault="001B352E" w:rsidP="001B352E">
      <w:pPr>
        <w:pStyle w:val="Paragrafi"/>
        <w:rPr>
          <w:rFonts w:eastAsia="MS Mincho"/>
          <w:lang w:val="en-GB"/>
        </w:rPr>
      </w:pPr>
    </w:p>
    <w:p w:rsidR="001B352E" w:rsidRPr="009406D6" w:rsidRDefault="001B352E" w:rsidP="001B352E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 xml:space="preserve">1. Në </w:t>
      </w:r>
      <w:r>
        <w:rPr>
          <w:rFonts w:eastAsia="MS Mincho"/>
          <w:lang w:val="en-GB"/>
        </w:rPr>
        <w:t>vendimin nr.478, datë 18.7.2007</w:t>
      </w:r>
      <w:r w:rsidRPr="009406D6">
        <w:rPr>
          <w:rFonts w:eastAsia="MS Mincho"/>
          <w:lang w:val="en-GB"/>
        </w:rPr>
        <w:t xml:space="preserve"> të Këshillit të Ministrave, të ndryshuar, të bëhen këto shtesa:</w:t>
      </w:r>
    </w:p>
    <w:p w:rsidR="001B352E" w:rsidRDefault="001B352E" w:rsidP="001B352E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a) Në fund të shkronjës “b” të pikës 1</w:t>
      </w:r>
      <w:r w:rsidRPr="009406D6">
        <w:rPr>
          <w:rFonts w:eastAsia="MS Mincho"/>
          <w:lang w:val="en-GB"/>
        </w:rPr>
        <w:t xml:space="preserve"> shtohet emërtesa “Qendra e shërbimeve dhe administrimit të mjeteve të transportit, të sistemit të Ministrisë së Brendshme.”.</w:t>
      </w:r>
    </w:p>
    <w:p w:rsidR="001B352E" w:rsidRDefault="001B352E" w:rsidP="001B352E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b) Lidhja nr.1/5, e përmendur në pikën 2/5, zëvendësohet me lidhjen me të njëjtin numër dhe titull, që i bashkëlidhet këtij vendimi dhe është pjesë përbërëse e tij.</w:t>
      </w:r>
    </w:p>
    <w:p w:rsidR="001B352E" w:rsidRPr="005D6660" w:rsidRDefault="001B352E" w:rsidP="001B352E">
      <w:pPr>
        <w:pStyle w:val="Paragrafi"/>
        <w:rPr>
          <w:rFonts w:eastAsia="MS Mincho"/>
          <w:lang w:val="es-CL"/>
        </w:rPr>
      </w:pPr>
      <w:r w:rsidRPr="005D6660">
        <w:rPr>
          <w:rFonts w:eastAsia="MS Mincho"/>
          <w:lang w:val="es-CL"/>
        </w:rPr>
        <w:t>c) Në pikën 14/1 pas emërtimit “… Shërbimit Informativ Ushtarak” shtohen “… dhe qendrës së shërbimeve dhe administrimit të mjeteve të transportit, të sistemit të  Ministrisë së Brendshme..”.</w:t>
      </w:r>
    </w:p>
    <w:p w:rsidR="001B352E" w:rsidRPr="005D6660" w:rsidRDefault="001B352E" w:rsidP="001B352E">
      <w:pPr>
        <w:pStyle w:val="Paragrafi"/>
        <w:rPr>
          <w:rFonts w:eastAsia="MS Mincho"/>
          <w:lang w:val="es-CL"/>
        </w:rPr>
      </w:pPr>
      <w:r w:rsidRPr="005D6660">
        <w:rPr>
          <w:rFonts w:eastAsia="MS Mincho"/>
          <w:lang w:val="es-CL"/>
        </w:rPr>
        <w:t>2. Punonjësit mbështetës ekzistues të qendrës së shërbimeve dhe administrimit të mjeteve të transportit, të sistemit të Ministrisë së Brendshme, të cilët, deri në datën e hyrjes në fuqi të këtij vendimi, kanë përfituar një pagë më të lartë se ajo e parashikuar sipas vendimit nr.1231, datë 2.7.2008 të Këshillit të Ministrave, do të ruajnë nivelin e mëparshëm të pagës, deri në çastin e rishikimit të vendimit nr.1231, datë 2.7.2008, sipas përcaktimeve të tij.</w:t>
      </w:r>
    </w:p>
    <w:p w:rsidR="001B352E" w:rsidRPr="005D6660" w:rsidRDefault="001B352E" w:rsidP="001B352E">
      <w:pPr>
        <w:pStyle w:val="Paragrafi"/>
        <w:rPr>
          <w:rFonts w:eastAsia="MS Mincho"/>
          <w:lang w:val="es-CL"/>
        </w:rPr>
      </w:pPr>
      <w:r w:rsidRPr="005D6660">
        <w:rPr>
          <w:rFonts w:eastAsia="MS Mincho"/>
          <w:lang w:val="es-CL"/>
        </w:rPr>
        <w:t>3. Efektet financiare, që rrjedhin nga zbatimi i këtij vendimi, për vitin 2008, të përballohen nga fondet e miratuara për sistemin e Ministrisë së Brendshme dhe sistemin e Ministrisë së Bujqësisë, Ushqimit dhe Mbrojtjes së Konsumatorit, për këtë vit.</w:t>
      </w:r>
    </w:p>
    <w:p w:rsidR="001B352E" w:rsidRPr="001B352E" w:rsidRDefault="001B352E" w:rsidP="001B352E">
      <w:pPr>
        <w:pStyle w:val="Paragrafi"/>
        <w:rPr>
          <w:rFonts w:eastAsia="MS Mincho"/>
          <w:lang w:val="es-CL"/>
        </w:rPr>
      </w:pPr>
      <w:r w:rsidRPr="001B352E">
        <w:rPr>
          <w:rFonts w:eastAsia="MS Mincho"/>
          <w:lang w:val="es-CL"/>
        </w:rPr>
        <w:t>Ky vendim hyn në fuqi pas botimit në Fletoren Zyrtare dhe i shtrin efektet financiare:</w:t>
      </w:r>
    </w:p>
    <w:p w:rsidR="001B352E" w:rsidRPr="001B352E" w:rsidRDefault="001B352E" w:rsidP="001B352E">
      <w:pPr>
        <w:pStyle w:val="Paragrafi"/>
        <w:rPr>
          <w:rFonts w:eastAsia="MS Mincho"/>
          <w:lang w:val="es-CL"/>
        </w:rPr>
      </w:pPr>
      <w:r w:rsidRPr="001B352E">
        <w:rPr>
          <w:rFonts w:eastAsia="MS Mincho"/>
          <w:lang w:val="es-CL"/>
        </w:rPr>
        <w:t>- për ndryshimin e parashikuar për Institutin e Sigurisë Ushqimore dhe Veterinarisë, nga çasti i emërimit të nëpunësit;</w:t>
      </w:r>
    </w:p>
    <w:p w:rsidR="001B352E" w:rsidRPr="001B352E" w:rsidRDefault="001B352E" w:rsidP="001B352E">
      <w:pPr>
        <w:pStyle w:val="Paragrafi"/>
        <w:rPr>
          <w:rFonts w:eastAsia="MS Mincho"/>
          <w:lang w:val="es-CL"/>
        </w:rPr>
      </w:pPr>
      <w:r w:rsidRPr="001B352E">
        <w:rPr>
          <w:rFonts w:eastAsia="MS Mincho"/>
          <w:lang w:val="es-CL"/>
        </w:rPr>
        <w:t>- për qendrën e shërbimeve dhe administrimit të mjeteve të transportit, të sistemit të Ministrisë së Brendshme, nga data 1 gusht 2008.</w:t>
      </w:r>
    </w:p>
    <w:p w:rsidR="001B352E" w:rsidRPr="001B352E" w:rsidRDefault="001B352E" w:rsidP="001B352E">
      <w:pPr>
        <w:pStyle w:val="Paragrafi"/>
        <w:rPr>
          <w:rFonts w:eastAsia="MS Mincho"/>
          <w:lang w:val="es-CL"/>
        </w:rPr>
      </w:pPr>
    </w:p>
    <w:p w:rsidR="001B352E" w:rsidRPr="005D6660" w:rsidRDefault="001B352E" w:rsidP="001B352E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1B352E" w:rsidRPr="005D6660" w:rsidRDefault="001B352E" w:rsidP="001B352E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p w:rsidR="001B352E" w:rsidRPr="005D6660" w:rsidRDefault="001B352E" w:rsidP="001B352E">
      <w:pPr>
        <w:pStyle w:val="Akti"/>
        <w:keepNext w:val="0"/>
        <w:jc w:val="right"/>
        <w:rPr>
          <w:rFonts w:eastAsia="MS Mincho"/>
          <w:b w:val="0"/>
          <w:caps w:val="0"/>
          <w:lang w:val="it-IT"/>
        </w:rPr>
      </w:pPr>
    </w:p>
    <w:p w:rsidR="001B352E" w:rsidRPr="005D6660" w:rsidRDefault="001B352E" w:rsidP="001B352E">
      <w:pPr>
        <w:pStyle w:val="Akti"/>
        <w:keepNext w:val="0"/>
        <w:jc w:val="right"/>
        <w:rPr>
          <w:rFonts w:eastAsia="MS Mincho"/>
          <w:b w:val="0"/>
          <w:caps w:val="0"/>
          <w:lang w:val="it-IT"/>
        </w:rPr>
      </w:pPr>
      <w:r w:rsidRPr="005D6660">
        <w:rPr>
          <w:rFonts w:eastAsia="MS Mincho"/>
          <w:b w:val="0"/>
          <w:caps w:val="0"/>
          <w:lang w:val="it-IT"/>
        </w:rPr>
        <w:t>Lidhja nr.1/5</w:t>
      </w:r>
    </w:p>
    <w:p w:rsidR="001B352E" w:rsidRPr="005D6660" w:rsidRDefault="001B352E" w:rsidP="001B352E">
      <w:pPr>
        <w:pStyle w:val="Akti"/>
        <w:keepNext w:val="0"/>
        <w:jc w:val="right"/>
        <w:rPr>
          <w:rFonts w:eastAsia="MS Mincho"/>
          <w:b w:val="0"/>
          <w:caps w:val="0"/>
          <w:lang w:val="it-IT"/>
        </w:rPr>
      </w:pPr>
    </w:p>
    <w:p w:rsidR="001B352E" w:rsidRPr="005D6660" w:rsidRDefault="001B352E" w:rsidP="001B352E">
      <w:pPr>
        <w:pStyle w:val="TitulliTitull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Struktura dhe nivelet e pagave të nëpunësve në pozicionet “specialist” deri në “titullar i institucionit” në Institutin e Sigurisë Ushqimore dhe Veterinarisë</w:t>
      </w:r>
    </w:p>
    <w:p w:rsidR="001B352E" w:rsidRPr="005D6660" w:rsidRDefault="001B352E" w:rsidP="001B352E">
      <w:pPr>
        <w:pStyle w:val="Akti"/>
        <w:keepNext w:val="0"/>
        <w:jc w:val="both"/>
        <w:rPr>
          <w:rFonts w:eastAsia="MS Mincho"/>
          <w:b w:val="0"/>
          <w:caps w:val="0"/>
          <w:lang w:val="it-IT"/>
        </w:rPr>
      </w:pPr>
    </w:p>
    <w:tbl>
      <w:tblPr>
        <w:tblStyle w:val="TableGrid"/>
        <w:tblW w:w="9759" w:type="dxa"/>
        <w:tblLook w:val="01E0" w:firstRow="1" w:lastRow="1" w:firstColumn="1" w:lastColumn="1" w:noHBand="0" w:noVBand="0"/>
      </w:tblPr>
      <w:tblGrid>
        <w:gridCol w:w="2329"/>
        <w:gridCol w:w="1857"/>
        <w:gridCol w:w="1256"/>
        <w:gridCol w:w="1122"/>
        <w:gridCol w:w="1337"/>
        <w:gridCol w:w="1858"/>
      </w:tblGrid>
      <w:tr w:rsidR="001B352E" w:rsidRPr="001B352E">
        <w:tc>
          <w:tcPr>
            <w:tcW w:w="9759" w:type="dxa"/>
            <w:gridSpan w:val="6"/>
          </w:tcPr>
          <w:p w:rsidR="001B352E" w:rsidRPr="001B352E" w:rsidRDefault="001B352E" w:rsidP="001B352E">
            <w:pPr>
              <w:pStyle w:val="Akti"/>
              <w:keepNext w:val="0"/>
              <w:jc w:val="right"/>
              <w:rPr>
                <w:rFonts w:eastAsia="MS Mincho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caps w:val="0"/>
                <w:sz w:val="18"/>
                <w:szCs w:val="18"/>
              </w:rPr>
              <w:t>PAGA MUJORE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caps w:val="0"/>
                <w:sz w:val="18"/>
                <w:szCs w:val="18"/>
              </w:rPr>
              <w:t>POZICIONI</w:t>
            </w: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caps w:val="0"/>
                <w:sz w:val="18"/>
                <w:szCs w:val="18"/>
              </w:rPr>
              <w:t>KATEGORIA</w:t>
            </w:r>
          </w:p>
        </w:tc>
        <w:tc>
          <w:tcPr>
            <w:tcW w:w="3715" w:type="dxa"/>
            <w:gridSpan w:val="3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caps w:val="0"/>
                <w:sz w:val="18"/>
                <w:szCs w:val="18"/>
              </w:rPr>
              <w:t>PAGA INDIVIDUALE</w:t>
            </w:r>
          </w:p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caps w:val="0"/>
                <w:sz w:val="18"/>
                <w:szCs w:val="18"/>
              </w:rPr>
              <w:t>(PAGA BAZË)</w:t>
            </w: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caps w:val="0"/>
                <w:sz w:val="18"/>
                <w:szCs w:val="18"/>
              </w:rPr>
              <w:t>SHTESA E POZICIONIT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3</w:t>
            </w: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4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jc w:val="both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jc w:val="both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Paga e grupit (PG)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Shtesa vjetore për vjetërsi (SHV)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Shtesa për kualifikim (SHK)</w:t>
            </w: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Shtesa e pozicionit (SHP)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jc w:val="both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Titullar i institucionit</w:t>
            </w: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II-a</w:t>
            </w: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11.000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2%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103.500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jc w:val="both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Zëvendëstitullar i institucionit</w:t>
            </w: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II-b</w:t>
            </w: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11.000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2%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86.500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jc w:val="both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lastRenderedPageBreak/>
              <w:t>Përgjegjës departamenti</w:t>
            </w: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III-a</w:t>
            </w: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11.000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2%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68.500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jc w:val="left"/>
              <w:rPr>
                <w:rFonts w:eastAsia="MS Mincho"/>
                <w:b w:val="0"/>
                <w:caps w:val="0"/>
                <w:sz w:val="18"/>
                <w:szCs w:val="18"/>
                <w:lang w:val="sq-AL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  <w:lang w:val="sq-AL"/>
              </w:rPr>
              <w:t>Përgjegjës sektori, në sektorët e përmbajtjes</w:t>
            </w:r>
          </w:p>
          <w:p w:rsidR="001B352E" w:rsidRPr="001B352E" w:rsidRDefault="001B352E" w:rsidP="001B352E">
            <w:pPr>
              <w:pStyle w:val="Akti"/>
              <w:keepNext w:val="0"/>
              <w:jc w:val="left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Drejtor në drejtoritë mbështetëse</w:t>
            </w: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III-a/1</w:t>
            </w: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11.000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2%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58.300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jc w:val="left"/>
              <w:rPr>
                <w:rFonts w:eastAsia="MS Mincho"/>
                <w:b w:val="0"/>
                <w:caps w:val="0"/>
                <w:sz w:val="18"/>
                <w:szCs w:val="18"/>
                <w:lang w:val="sq-AL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  <w:lang w:val="sq-AL"/>
              </w:rPr>
              <w:t>Përgjegjës sektori, në sektorët mbështetës</w:t>
            </w:r>
          </w:p>
          <w:p w:rsidR="001B352E" w:rsidRPr="001B352E" w:rsidRDefault="001B352E" w:rsidP="001B352E">
            <w:pPr>
              <w:pStyle w:val="Akti"/>
              <w:keepNext w:val="0"/>
              <w:jc w:val="left"/>
              <w:rPr>
                <w:rFonts w:eastAsia="MS Mincho"/>
                <w:b w:val="0"/>
                <w:caps w:val="0"/>
                <w:sz w:val="18"/>
                <w:szCs w:val="18"/>
                <w:lang w:val="sq-AL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  <w:lang w:val="sq-AL"/>
              </w:rPr>
              <w:t>Specialist me grada e tituj shkencorë, në departamentet dhe sektorët e përmbajtjes</w:t>
            </w: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III-b</w:t>
            </w: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11.000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2%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51.500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jc w:val="left"/>
              <w:rPr>
                <w:rFonts w:eastAsia="MS Mincho"/>
                <w:b w:val="0"/>
                <w:caps w:val="0"/>
                <w:sz w:val="18"/>
                <w:szCs w:val="18"/>
                <w:lang w:val="it-IT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  <w:lang w:val="it-IT"/>
              </w:rPr>
              <w:t>Specialist pa grada e tituj shkencorë në departamentet dhe sektorët e përmbajtjes</w:t>
            </w: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IV-a</w:t>
            </w: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11.000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2%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39.000</w:t>
            </w:r>
          </w:p>
        </w:tc>
      </w:tr>
      <w:tr w:rsidR="001B352E" w:rsidRPr="001B352E">
        <w:tc>
          <w:tcPr>
            <w:tcW w:w="2329" w:type="dxa"/>
          </w:tcPr>
          <w:p w:rsidR="001B352E" w:rsidRPr="001B352E" w:rsidRDefault="001B352E" w:rsidP="001B352E">
            <w:pPr>
              <w:pStyle w:val="Akti"/>
              <w:keepNext w:val="0"/>
              <w:jc w:val="left"/>
              <w:rPr>
                <w:rFonts w:eastAsia="MS Mincho"/>
                <w:b w:val="0"/>
                <w:caps w:val="0"/>
                <w:sz w:val="18"/>
                <w:szCs w:val="18"/>
                <w:lang w:val="sq-AL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  <w:lang w:val="sq-AL"/>
              </w:rPr>
              <w:t>Specialist zbatues pa grada e tituj shkencorë në departamentet dhe sektorët e përmbajtjes</w:t>
            </w:r>
          </w:p>
          <w:p w:rsidR="001B352E" w:rsidRPr="001B352E" w:rsidRDefault="001B352E" w:rsidP="001B352E">
            <w:pPr>
              <w:pStyle w:val="Akti"/>
              <w:keepNext w:val="0"/>
              <w:jc w:val="left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Specialist në sektorët mbështetës</w:t>
            </w:r>
          </w:p>
        </w:tc>
        <w:tc>
          <w:tcPr>
            <w:tcW w:w="185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IV-b</w:t>
            </w:r>
          </w:p>
        </w:tc>
        <w:tc>
          <w:tcPr>
            <w:tcW w:w="1256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11.000</w:t>
            </w:r>
          </w:p>
        </w:tc>
        <w:tc>
          <w:tcPr>
            <w:tcW w:w="1122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2%</w:t>
            </w:r>
          </w:p>
        </w:tc>
        <w:tc>
          <w:tcPr>
            <w:tcW w:w="1337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</w:p>
        </w:tc>
        <w:tc>
          <w:tcPr>
            <w:tcW w:w="1858" w:type="dxa"/>
          </w:tcPr>
          <w:p w:rsidR="001B352E" w:rsidRPr="001B352E" w:rsidRDefault="001B352E" w:rsidP="001B352E">
            <w:pPr>
              <w:pStyle w:val="Akti"/>
              <w:keepNext w:val="0"/>
              <w:rPr>
                <w:rFonts w:eastAsia="MS Mincho"/>
                <w:b w:val="0"/>
                <w:caps w:val="0"/>
                <w:sz w:val="18"/>
                <w:szCs w:val="18"/>
              </w:rPr>
            </w:pPr>
            <w:r w:rsidRPr="001B352E">
              <w:rPr>
                <w:rFonts w:eastAsia="MS Mincho"/>
                <w:b w:val="0"/>
                <w:caps w:val="0"/>
                <w:sz w:val="18"/>
                <w:szCs w:val="18"/>
              </w:rPr>
              <w:t>29.000</w:t>
            </w:r>
          </w:p>
        </w:tc>
      </w:tr>
    </w:tbl>
    <w:p w:rsidR="001B352E" w:rsidRDefault="001B352E" w:rsidP="001B352E">
      <w:pPr>
        <w:pStyle w:val="Akti"/>
        <w:keepNext w:val="0"/>
        <w:jc w:val="both"/>
        <w:rPr>
          <w:rFonts w:eastAsia="MS Mincho"/>
        </w:rPr>
      </w:pPr>
    </w:p>
    <w:sectPr w:rsidR="001B352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352E"/>
    <w:rsid w:val="000178C2"/>
    <w:rsid w:val="000A780A"/>
    <w:rsid w:val="00143799"/>
    <w:rsid w:val="001462DA"/>
    <w:rsid w:val="001B352E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42AC5F-79F4-4C06-8EAF-3148F4E1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52E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1B352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