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19D" w:rsidRPr="00030DB7" w:rsidRDefault="00D5419D" w:rsidP="00D5419D">
      <w:pPr>
        <w:pStyle w:val="Akti"/>
        <w:keepNext w:val="0"/>
      </w:pPr>
      <w:bookmarkStart w:id="0" w:name="_GoBack"/>
      <w:bookmarkEnd w:id="0"/>
      <w:r w:rsidRPr="00030DB7">
        <w:t>VENDIM</w:t>
      </w:r>
    </w:p>
    <w:p w:rsidR="00D5419D" w:rsidRPr="00030DB7" w:rsidRDefault="00D5419D" w:rsidP="00D5419D">
      <w:pPr>
        <w:pStyle w:val="NumriData"/>
        <w:keepNext w:val="0"/>
      </w:pPr>
      <w:r w:rsidRPr="00030DB7">
        <w:t>Nr.1443, dat</w:t>
      </w:r>
      <w:r>
        <w:t>ë</w:t>
      </w:r>
      <w:r w:rsidRPr="00030DB7">
        <w:t xml:space="preserve"> 31.10.2008</w:t>
      </w:r>
    </w:p>
    <w:p w:rsidR="00D5419D" w:rsidRPr="00030DB7" w:rsidRDefault="00D5419D" w:rsidP="00D5419D">
      <w:pPr>
        <w:pStyle w:val="Paragrafi"/>
      </w:pPr>
    </w:p>
    <w:p w:rsidR="00D5419D" w:rsidRDefault="00D5419D" w:rsidP="00D5419D">
      <w:pPr>
        <w:pStyle w:val="Titulli"/>
        <w:keepNext w:val="0"/>
      </w:pPr>
      <w:r w:rsidRPr="00030DB7">
        <w:t>P</w:t>
      </w:r>
      <w:r>
        <w:t>Ë</w:t>
      </w:r>
      <w:r w:rsidRPr="00030DB7">
        <w:t>R KRIJIMIN, ORGANIZIMIN DHE FUNKSIONIMIN E AGJENCIS</w:t>
      </w:r>
      <w:r>
        <w:t>Ë</w:t>
      </w:r>
      <w:r w:rsidRPr="00030DB7">
        <w:t xml:space="preserve"> P</w:t>
      </w:r>
      <w:r>
        <w:t>Ë</w:t>
      </w:r>
      <w:r w:rsidRPr="00030DB7">
        <w:t>R ZHVILLIM BUJQ</w:t>
      </w:r>
      <w:r>
        <w:t>Ë</w:t>
      </w:r>
      <w:r w:rsidRPr="00030DB7">
        <w:t>SOR DHE RURAL (AZHBR), SI AGJENCIA E PAGESAVE</w:t>
      </w:r>
    </w:p>
    <w:p w:rsidR="00D5419D" w:rsidRDefault="00D5419D" w:rsidP="00D5419D">
      <w:pPr>
        <w:pStyle w:val="Paragrafi"/>
      </w:pPr>
    </w:p>
    <w:p w:rsidR="00D5419D" w:rsidRDefault="00D5419D" w:rsidP="00D5419D">
      <w:pPr>
        <w:pStyle w:val="Paragrafi"/>
      </w:pPr>
      <w:r>
        <w:t>Në mbështetje të nenit 100 të Kushtetutës, të pikës 3 të nenit 21 të ligjit nr.9817, datë 22.10.2007  “Për bujqësinë dhe zhvillimin rural”, dhe të nenit 10 të ligjit nr.9000, datë 30.1.2003 “Për organizimin dhe funksionimin e Këshillit të Ministrave”, me propozimin e Ministrit të Bujqësisë, Ushqimit dhe Mbrojtjes së Konsumatorit, Këshilli i Ministrave</w:t>
      </w:r>
    </w:p>
    <w:p w:rsidR="00D5419D" w:rsidRDefault="00D5419D" w:rsidP="00D5419D">
      <w:pPr>
        <w:pStyle w:val="Paragrafi"/>
      </w:pPr>
    </w:p>
    <w:p w:rsidR="00D5419D" w:rsidRDefault="00D5419D" w:rsidP="00D5419D">
      <w:pPr>
        <w:pStyle w:val="VENDOSI"/>
        <w:keepNext w:val="0"/>
      </w:pPr>
      <w:r>
        <w:t>VENDOSI:</w:t>
      </w:r>
    </w:p>
    <w:p w:rsidR="00D5419D" w:rsidRDefault="00D5419D" w:rsidP="00D5419D">
      <w:pPr>
        <w:pStyle w:val="Paragrafi"/>
      </w:pPr>
    </w:p>
    <w:p w:rsidR="00D5419D" w:rsidRDefault="00D5419D" w:rsidP="00D5419D">
      <w:pPr>
        <w:pStyle w:val="Paragrafi"/>
      </w:pPr>
      <w:r>
        <w:t>1. Krijimin e Agjencisë për Zhvillim Bujqësor dhe Rural (AZHBR), si agjencia e pagesave, në kuptim të nenit 21 të ligjit nr.9817, datë 22.10.2007 “Për bujqësinë dhe zhvillimin rural”.</w:t>
      </w:r>
    </w:p>
    <w:p w:rsidR="00D5419D" w:rsidRDefault="00D5419D" w:rsidP="00D5419D">
      <w:pPr>
        <w:pStyle w:val="Paragrafi"/>
      </w:pPr>
      <w:r>
        <w:t>2. AZHBR-ja ka strukturë qendrore dhe struktura vendore, në shkallë qarku.</w:t>
      </w:r>
    </w:p>
    <w:p w:rsidR="00D5419D" w:rsidRDefault="00D5419D" w:rsidP="00D5419D">
      <w:pPr>
        <w:pStyle w:val="Paragrafi"/>
      </w:pPr>
      <w:r>
        <w:t>3. Drejtori i AZHBR-së emërohet, lirohet ose shkarkohet nga Kryeministri, me propozimin e Ministrit të Bujqësisë, Ushqimit dhe Mbrojtjes së Konsumatorit. Drejtuesit dhe punonjësit e tjerë të kësaj agjencie, përfshirë edhe ata të strukturave vendore, pranohen sipas procedurave të përcaktuara në legjislacionin për shërbimin civil. Numri i punonjësve të agjencisë është 86 veta.</w:t>
      </w:r>
    </w:p>
    <w:p w:rsidR="00D5419D" w:rsidRDefault="00D5419D" w:rsidP="00D5419D">
      <w:pPr>
        <w:pStyle w:val="Paragrafi"/>
      </w:pPr>
      <w:r>
        <w:t>4. AZHBR-ja është përgjegjëse për administrimin e fondeve të programit për bujqësinë dhe për zhvillimin rural, si më poshtë vijon:</w:t>
      </w:r>
    </w:p>
    <w:p w:rsidR="00D5419D" w:rsidRDefault="00D5419D" w:rsidP="00D5419D">
      <w:pPr>
        <w:pStyle w:val="Paragrafi"/>
      </w:pPr>
      <w:r>
        <w:t>a) Fondet e Buxhetit të Shtetit, për mbështetje të drejtpërdrejtë të prodhimit bujqësor;</w:t>
      </w:r>
    </w:p>
    <w:p w:rsidR="00D5419D" w:rsidRDefault="00D5419D" w:rsidP="00D5419D">
      <w:pPr>
        <w:pStyle w:val="Paragrafi"/>
      </w:pPr>
      <w:r>
        <w:t>b) Fondet e Buxhetit të Shtetit, për zhvillimin e infrastrukturës së tregjeve bujqësore;</w:t>
      </w:r>
    </w:p>
    <w:p w:rsidR="00D5419D" w:rsidRDefault="00D5419D" w:rsidP="00D5419D">
      <w:pPr>
        <w:pStyle w:val="Paragrafi"/>
      </w:pPr>
      <w:r>
        <w:t>c) Fondet kundërparti, të projektit  2KR.</w:t>
      </w:r>
    </w:p>
    <w:p w:rsidR="00D5419D" w:rsidRDefault="00D5419D" w:rsidP="00D5419D">
      <w:pPr>
        <w:pStyle w:val="Paragrafi"/>
      </w:pPr>
      <w:r>
        <w:t>Kriteret e përgjithshme të përdorimit të fondeve kundërparti, të projektit 2 KR, përcaktohen me vendim të veçantë të Këshillit të Ministrave.</w:t>
      </w:r>
    </w:p>
    <w:p w:rsidR="00D5419D" w:rsidRDefault="00D5419D" w:rsidP="00D5419D">
      <w:pPr>
        <w:pStyle w:val="Paragrafi"/>
      </w:pPr>
      <w:r>
        <w:t>5. AZHBR-ja harton planin e veprimit për përafrimin e strukturës organizative dhe të kapaciteteve të saj, menaxhuese dhe teknike, me standardet e akreditimit të BE-së.</w:t>
      </w:r>
    </w:p>
    <w:p w:rsidR="00D5419D" w:rsidRDefault="00D5419D" w:rsidP="00D5419D">
      <w:pPr>
        <w:pStyle w:val="Paragrafi"/>
      </w:pPr>
      <w:r>
        <w:t>6.</w:t>
      </w:r>
      <w:r w:rsidRPr="00433727">
        <w:t xml:space="preserve"> </w:t>
      </w:r>
      <w:r>
        <w:t>AZHBR-ja harton dhe propozon projekte, si dhe merr masa për krijimin e administrimin e databazave dhe të logjistikës IT, të nevojshme për funksionimin e saj, sipas standardeve të BE-së.</w:t>
      </w:r>
    </w:p>
    <w:p w:rsidR="00D5419D" w:rsidRDefault="00D5419D" w:rsidP="00D5419D">
      <w:pPr>
        <w:pStyle w:val="Paragrafi"/>
      </w:pPr>
      <w:r>
        <w:t>7.</w:t>
      </w:r>
      <w:r w:rsidRPr="00433727">
        <w:t xml:space="preserve"> </w:t>
      </w:r>
      <w:r>
        <w:t>AZHBR-ja do të fillojë të funksionojë më 1 janar 2009.</w:t>
      </w:r>
    </w:p>
    <w:p w:rsidR="00D5419D" w:rsidRDefault="00D5419D" w:rsidP="00D5419D">
      <w:pPr>
        <w:pStyle w:val="Paragrafi"/>
      </w:pPr>
      <w:r>
        <w:t>8. Efektet financiare, që rrjedhin nga zbatimi i këtij vendimi, do të përballohen nga Buxheti i Shtetit,  miratuar për Ministrinë e Bujqësisë, Ushqimit dhe Mbrojtjes së Konsumatorit.</w:t>
      </w:r>
    </w:p>
    <w:p w:rsidR="00D5419D" w:rsidRDefault="00D5419D" w:rsidP="00D5419D">
      <w:pPr>
        <w:pStyle w:val="Paragrafi"/>
      </w:pPr>
      <w:r>
        <w:t>9. Rregullat dhe procedurat e funksionimit të brendshëm të AZHBR-së, si dhe ndarja e detyrave, përgjegjësive e kompetencave, ndërmjet saj dhe drejtorive rajonale të bujqësisë, ushqimit dhe mbrojtjes së konsumatorit (DRBUMK) e aktorëve të tjerë, të sistemit të bujqësisë dhe ushqimit, përcaktohen me udhëzim të veçantë të Ministrit të Bujqësisë, Ushqimit dhe Mbrojtjes së Konsumatorit.</w:t>
      </w:r>
    </w:p>
    <w:p w:rsidR="00D5419D" w:rsidRDefault="00D5419D" w:rsidP="00D5419D">
      <w:pPr>
        <w:pStyle w:val="Paragrafi"/>
      </w:pPr>
      <w:r>
        <w:t>10. Ngarkohet Ministria e Bujqësisë, Ushqimit dhe Mbrojtjes së Konsumatorit për zbatimin e këtij vendimi.</w:t>
      </w:r>
    </w:p>
    <w:p w:rsidR="00D5419D" w:rsidRDefault="00D5419D" w:rsidP="00D5419D">
      <w:pPr>
        <w:pStyle w:val="Paragrafi"/>
      </w:pPr>
      <w:r>
        <w:t>Ky vendim hyn në fuqi pas botimit në Fletoren Zyrtare.</w:t>
      </w:r>
    </w:p>
    <w:p w:rsidR="00D5419D" w:rsidRDefault="00D5419D" w:rsidP="00D5419D">
      <w:pPr>
        <w:pStyle w:val="Paragrafi"/>
      </w:pPr>
    </w:p>
    <w:p w:rsidR="00D5419D" w:rsidRDefault="00D5419D" w:rsidP="00D5419D">
      <w:pPr>
        <w:pStyle w:val="Autoriteti"/>
        <w:keepNext w:val="0"/>
      </w:pPr>
      <w:r>
        <w:t xml:space="preserve">KRYEMINISTRI </w:t>
      </w:r>
    </w:p>
    <w:p w:rsidR="00D5419D" w:rsidRDefault="00D5419D" w:rsidP="00D5419D">
      <w:pPr>
        <w:pStyle w:val="AutoritetiEmer"/>
      </w:pPr>
      <w:r>
        <w:t>Sali Berisha</w:t>
      </w:r>
    </w:p>
    <w:sectPr w:rsidR="00D541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419D"/>
    <w:rsid w:val="00153448"/>
    <w:rsid w:val="005E62E6"/>
    <w:rsid w:val="00D5419D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7B850C-E9CD-4885-B3C3-8569352B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D5419D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D5419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D5419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5419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D5419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D5419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D5419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5419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5419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2019-03-16T20:03:00Z</dcterms:created>
  <dcterms:modified xsi:type="dcterms:W3CDTF">2019-03-16T20:03:00Z</dcterms:modified>
</cp:coreProperties>
</file>