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1E9" w:rsidRPr="00D8408B" w:rsidRDefault="007B21E9" w:rsidP="007B21E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7B21E9" w:rsidRPr="00D8408B" w:rsidRDefault="007B21E9" w:rsidP="007B21E9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 Nr.1484, datë 12.11.2008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7B21E9" w:rsidRPr="00D8408B" w:rsidRDefault="007B21E9" w:rsidP="007B21E9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 xml:space="preserve">PËR  NJË SHTESË NË VENDIMIN NR.23, DATË 9.1.2008 TË KËSHILLIT TË 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MINI</w:t>
        </w:r>
      </w:smartTag>
      <w:r w:rsidRPr="00D8408B">
        <w:rPr>
          <w:sz w:val="21"/>
          <w:szCs w:val="21"/>
          <w:lang w:val="de-DE"/>
        </w:rPr>
        <w:t>STRAVE “PËR TARIFAT E PËRDORIMIT TË UJIT”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</w:p>
    <w:p w:rsidR="007B21E9" w:rsidRPr="00D8408B" w:rsidRDefault="007B21E9" w:rsidP="007B21E9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nenit 57 të ligjit nr.8093, datë 21.3.1996 “Për rezervat ujore”, të  ndryshuar,  me propozimin e Ministrit të Ekonomisë, Tregtisë dhe Energjetikës dhe të Ministrit të Mjedisit, Pyjeve dhe Administrimit të Ujërave, Këshilli i Ministrave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 </w:t>
      </w:r>
    </w:p>
    <w:p w:rsidR="007B21E9" w:rsidRPr="00D8408B" w:rsidRDefault="007B21E9" w:rsidP="007B21E9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1. Pas pikës 1 të vendimit nr.23, datë 9.1.2008 të Këshillit të Ministrave, shtohet pika 1.1, me këtë përmbajtje: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“1.1 Tarifat e përdorimit të ujit, të parashikuara në pikën 4  të tabelës 1, që i bashkëlidhet këtij vendimi, janë 0, kur:</w:t>
      </w:r>
    </w:p>
    <w:p w:rsidR="007B21E9" w:rsidRPr="00D8408B" w:rsidRDefault="007B21E9" w:rsidP="007B21E9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i)  në kontratën e koncesionit, për hidrocentrale, të lidhur nga autoriteti përkatës kontraktor, është parashikuar pagimi i tarifës së koncesionit nga ana e koncesionarit;</w:t>
      </w:r>
    </w:p>
    <w:p w:rsidR="007B21E9" w:rsidRPr="00D8408B" w:rsidRDefault="007B21E9" w:rsidP="007B21E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ii) KESH sh.a. do të jetë shoqëri publike.”.</w:t>
      </w:r>
    </w:p>
    <w:p w:rsidR="007B21E9" w:rsidRPr="00D8408B" w:rsidRDefault="007B21E9" w:rsidP="007B21E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2. Ngarkohen Ministria e Mjedisit, Pyjeve dhe Administrimit të Ujërave, Ministria e Ekonomisë, Tregtisë dhe Energjetikës, Ministria e Financave dhe këshillat e baseneve të ujërave për zbatimin e këtij vendimi.</w:t>
      </w:r>
    </w:p>
    <w:p w:rsidR="007B21E9" w:rsidRPr="00D8408B" w:rsidRDefault="007B21E9" w:rsidP="007B21E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Ky vendim hyn në fuqi pas botimit në Fletoren Zyrtare.</w:t>
      </w:r>
    </w:p>
    <w:p w:rsidR="007B21E9" w:rsidRPr="00D8408B" w:rsidRDefault="007B21E9" w:rsidP="007B21E9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 </w:t>
      </w:r>
    </w:p>
    <w:p w:rsidR="007B21E9" w:rsidRPr="00D8408B" w:rsidRDefault="007B21E9" w:rsidP="007B21E9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7B21E9" w:rsidRPr="00D8408B" w:rsidRDefault="007B21E9" w:rsidP="007B21E9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7B21E9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21E9"/>
    <w:rsid w:val="00093BA7"/>
    <w:rsid w:val="00155FB1"/>
    <w:rsid w:val="00427864"/>
    <w:rsid w:val="005C6D99"/>
    <w:rsid w:val="007B21E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28E628-4C74-43C5-AAB3-BB7E408A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B21E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7B21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