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CDA" w:rsidRDefault="00612CDA" w:rsidP="00612CDA">
      <w:pPr>
        <w:pStyle w:val="Akti"/>
        <w:keepNext w:val="0"/>
      </w:pPr>
      <w:bookmarkStart w:id="0" w:name="_GoBack"/>
      <w:bookmarkEnd w:id="0"/>
      <w:r>
        <w:t>Vendim</w:t>
      </w:r>
    </w:p>
    <w:p w:rsidR="00612CDA" w:rsidRDefault="00612CDA" w:rsidP="00612CDA">
      <w:pPr>
        <w:pStyle w:val="NumriData"/>
        <w:keepNext w:val="0"/>
      </w:pPr>
      <w:r>
        <w:t>Nr.1616, datë 10.12.2008</w:t>
      </w:r>
    </w:p>
    <w:p w:rsidR="00612CDA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Titulli"/>
        <w:keepNext w:val="0"/>
      </w:pPr>
      <w:r w:rsidRPr="00924519">
        <w:t>Për miratimin e rregullores së organizimit dhe të funksionimit  të komisionit për vlerësimin e masave për importet</w:t>
      </w:r>
    </w:p>
    <w:p w:rsidR="00612CDA" w:rsidRPr="00924519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BazLigjPropozues"/>
        <w:keepNext w:val="0"/>
      </w:pPr>
      <w:r w:rsidRPr="00924519">
        <w:t>Në mbështetje të nenit 100 të Kushtet</w:t>
      </w:r>
      <w:r>
        <w:t>utës, të neneve 4, pika 5, e 26</w:t>
      </w:r>
      <w:r w:rsidRPr="00924519">
        <w:t xml:space="preserve"> të ligjit nr.9790, datë</w:t>
      </w:r>
      <w:r>
        <w:t xml:space="preserve"> 19.7.2007 “</w:t>
      </w:r>
      <w:r w:rsidRPr="00924519">
        <w:t>Për masat mbrojtëse në</w:t>
      </w:r>
      <w:r>
        <w:t xml:space="preserve"> importe”</w:t>
      </w:r>
      <w:r w:rsidRPr="00924519">
        <w:t>, dhe të</w:t>
      </w:r>
      <w:r>
        <w:t xml:space="preserve"> nenit 25</w:t>
      </w:r>
      <w:r w:rsidRPr="00924519">
        <w:t xml:space="preserve"> të ligjit nr.9796, datë</w:t>
      </w:r>
      <w:r>
        <w:t xml:space="preserve"> 23.7.2007 “</w:t>
      </w:r>
      <w:r w:rsidRPr="00924519">
        <w:t>Për masat antidumping dhe kundë</w:t>
      </w:r>
      <w:r>
        <w:t>rbalancuese”</w:t>
      </w:r>
      <w:r w:rsidRPr="00924519">
        <w:t>, me propozimin e Ministrit të Ekonomisë, Tregtisë dhe Energjetikës, Këshilli i Ministrave</w:t>
      </w:r>
    </w:p>
    <w:p w:rsidR="00612CDA" w:rsidRPr="00924519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VENDOSI"/>
        <w:keepNext w:val="0"/>
      </w:pPr>
      <w:r w:rsidRPr="00924519">
        <w:t>Vendosi:</w:t>
      </w:r>
    </w:p>
    <w:p w:rsidR="00612CDA" w:rsidRPr="00924519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Miratimin e rregullores së organizimit dhe të funksionimit të komisionit për vlerësimin e masave për importet, sipas tekstit, që i bashkëlidhet këtij vendimi.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Ky vendim hyn në fuqi pas botimit në Fletoren Zyrtare.</w:t>
      </w:r>
    </w:p>
    <w:p w:rsidR="00612CDA" w:rsidRPr="00924519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Autoriteti"/>
        <w:keepNext w:val="0"/>
      </w:pPr>
      <w:r w:rsidRPr="00924519">
        <w:t>Kryeministri</w:t>
      </w:r>
    </w:p>
    <w:p w:rsidR="00612CDA" w:rsidRPr="00924519" w:rsidRDefault="00612CDA" w:rsidP="00612CDA">
      <w:pPr>
        <w:pStyle w:val="AutoritetiEmer"/>
      </w:pPr>
      <w:r w:rsidRPr="00924519">
        <w:t>Sali Berisha</w:t>
      </w:r>
    </w:p>
    <w:p w:rsidR="00612CDA" w:rsidRPr="00924519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Titulli"/>
        <w:keepNext w:val="0"/>
      </w:pPr>
      <w:r w:rsidRPr="00924519">
        <w:t>Rregullore</w:t>
      </w:r>
    </w:p>
    <w:p w:rsidR="00612CDA" w:rsidRPr="00924519" w:rsidRDefault="00612CDA" w:rsidP="00612CDA">
      <w:pPr>
        <w:pStyle w:val="TitulliTitull"/>
        <w:keepNext w:val="0"/>
      </w:pPr>
      <w:r w:rsidRPr="00924519">
        <w:t>Për organizimin dhe funksionimin e komisionit për vlerësimin e masave për importet</w:t>
      </w:r>
    </w:p>
    <w:p w:rsidR="00612CDA" w:rsidRPr="00924519" w:rsidRDefault="00612CDA" w:rsidP="00612CDA">
      <w:pPr>
        <w:pStyle w:val="Paragrafi"/>
        <w:rPr>
          <w:szCs w:val="22"/>
        </w:rPr>
      </w:pP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1.</w:t>
      </w:r>
      <w:r>
        <w:rPr>
          <w:szCs w:val="22"/>
        </w:rPr>
        <w:t xml:space="preserve"> </w:t>
      </w:r>
      <w:r w:rsidRPr="00924519">
        <w:rPr>
          <w:szCs w:val="22"/>
        </w:rPr>
        <w:t>Objekti dhe fusha e veprimit përcaktohen si më poshtë:</w:t>
      </w:r>
    </w:p>
    <w:p w:rsidR="00612CDA" w:rsidRPr="00924519" w:rsidRDefault="00612CDA" w:rsidP="00612CDA">
      <w:pPr>
        <w:pStyle w:val="Paragrafi"/>
        <w:rPr>
          <w:szCs w:val="22"/>
        </w:rPr>
      </w:pPr>
      <w:r>
        <w:rPr>
          <w:szCs w:val="22"/>
        </w:rPr>
        <w:t xml:space="preserve">1.1 </w:t>
      </w:r>
      <w:r w:rsidRPr="00924519">
        <w:rPr>
          <w:szCs w:val="22"/>
        </w:rPr>
        <w:t>Objekti i kësaj rregulloreje është përcaktimi i procedurave, rregullave dhe i përgjegjësive dhe funksionimit të Komisionit për Vlerësimin e Masave për Importet (që në vazhdim të kësaj rregulloreje do të quhet Komisioni), për marrjen e masave antidumping, kundërbalancuese dhe masave mbrojtëse në</w:t>
      </w:r>
      <w:r>
        <w:rPr>
          <w:szCs w:val="22"/>
        </w:rPr>
        <w:t xml:space="preserve"> importe”, të përcaktuara në ligjin nr.9790, datë 19.7.2007 “Për masat mbrojtëse në importe”</w:t>
      </w:r>
      <w:r w:rsidRPr="00924519">
        <w:rPr>
          <w:szCs w:val="22"/>
        </w:rPr>
        <w:t>, neni 4, pika 5, dhe neni 26 dhe ligjin nr.9796, datë 23.7.2007 “Për masat antidumping dhe kundërbalancuese”, neni 25.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1.2 Kjo rregullore zbatohet nga Komisioni dhe sekretariati teknik i kë</w:t>
      </w:r>
      <w:r>
        <w:rPr>
          <w:szCs w:val="22"/>
        </w:rPr>
        <w:t>tij K</w:t>
      </w:r>
      <w:r w:rsidRPr="00924519">
        <w:rPr>
          <w:szCs w:val="22"/>
        </w:rPr>
        <w:t>omisioni.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2.</w:t>
      </w:r>
      <w:r>
        <w:rPr>
          <w:szCs w:val="22"/>
        </w:rPr>
        <w:t xml:space="preserve"> </w:t>
      </w:r>
      <w:r w:rsidRPr="00924519">
        <w:rPr>
          <w:szCs w:val="22"/>
        </w:rPr>
        <w:t>Organizimi dhe funksionimi i Komisionit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2.1 Për shqyrtimin e masave antidumping, të masave kundërbalancuese, si dhe masave mbrojtëse për importet, në zbatim të ligjit nr.9790, datë 19.7.2007 “Për masat mbrojtëse në</w:t>
      </w:r>
      <w:r>
        <w:rPr>
          <w:szCs w:val="22"/>
        </w:rPr>
        <w:t xml:space="preserve"> importe”</w:t>
      </w:r>
      <w:r w:rsidRPr="00924519">
        <w:rPr>
          <w:szCs w:val="22"/>
        </w:rPr>
        <w:t xml:space="preserve"> dhe të ligjit nr.9796, datë 23.7.2007 “Për masat antidumping dhe kundërbalancuese</w:t>
      </w:r>
      <w:r>
        <w:rPr>
          <w:szCs w:val="22"/>
        </w:rPr>
        <w:t>”</w:t>
      </w:r>
      <w:r w:rsidRPr="00924519">
        <w:rPr>
          <w:szCs w:val="22"/>
        </w:rPr>
        <w:t>, është krijuar organi kolegjial shtetëror “Komisioni për vlerësimin e masave pë</w:t>
      </w:r>
      <w:r>
        <w:rPr>
          <w:szCs w:val="22"/>
        </w:rPr>
        <w:t>r importet”</w:t>
      </w:r>
      <w:r w:rsidRPr="00924519">
        <w:rPr>
          <w:szCs w:val="22"/>
        </w:rPr>
        <w:t>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2.2 Struktura përgjegjëse pë</w:t>
      </w:r>
      <w:r>
        <w:rPr>
          <w:szCs w:val="22"/>
        </w:rPr>
        <w:t>r antidu</w:t>
      </w:r>
      <w:r w:rsidRPr="00924519">
        <w:rPr>
          <w:szCs w:val="22"/>
        </w:rPr>
        <w:t>mpingun dhe mas</w:t>
      </w:r>
      <w:r>
        <w:rPr>
          <w:szCs w:val="22"/>
        </w:rPr>
        <w:t>at mbrojtëse në importe, pranë m</w:t>
      </w:r>
      <w:r w:rsidRPr="00924519">
        <w:rPr>
          <w:szCs w:val="22"/>
        </w:rPr>
        <w:t>inistrisë që mbulon tregtinë, ushtron funksionet e sekretariatit teknik, gjatë gjithë procesit të hetimit dhe punës së Komisionit.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2.3 Komisioni  ushtron veprimtari në përputhje me këtë rregullore, aktet ligjore e nënligjore në fuqi, që përcaktojnë kriteret në këtë</w:t>
      </w:r>
      <w:r>
        <w:rPr>
          <w:szCs w:val="22"/>
        </w:rPr>
        <w:t xml:space="preserve"> fushë</w:t>
      </w:r>
      <w:r w:rsidRPr="00924519">
        <w:rPr>
          <w:szCs w:val="22"/>
        </w:rPr>
        <w:t>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2.4 Anëtarët e komisionit në mbledhjen e tij të parë duhet të nënshkruajnë një deklaratë, për paanësinë e tyre në ushtrimin e këtij funksioni.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3. Kompetencat e këtij Komisioni janë: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a) miraton ose refuzon kërkesën që bëjnë subjektet e interesuara për fillimin e hetimit, zgjatjen e periudhës së hetimit apo pezullimin e tij në rast të tërheqjes së aplikimit gjatë hetimit;</w:t>
      </w:r>
    </w:p>
    <w:p w:rsidR="00612CDA" w:rsidRPr="00924519" w:rsidRDefault="00612CDA" w:rsidP="00612CDA">
      <w:pPr>
        <w:pStyle w:val="Paragrafi"/>
        <w:rPr>
          <w:szCs w:val="22"/>
          <w:lang w:val="de-DE"/>
        </w:rPr>
      </w:pPr>
      <w:r w:rsidRPr="00924519">
        <w:rPr>
          <w:szCs w:val="22"/>
          <w:lang w:val="de-DE"/>
        </w:rPr>
        <w:t>b)</w:t>
      </w:r>
      <w:r>
        <w:rPr>
          <w:szCs w:val="22"/>
          <w:lang w:val="de-DE"/>
        </w:rPr>
        <w:t xml:space="preserve"> </w:t>
      </w:r>
      <w:r w:rsidRPr="00924519">
        <w:rPr>
          <w:szCs w:val="22"/>
          <w:lang w:val="de-DE"/>
        </w:rPr>
        <w:t>kryen seanca dëgjimore me palët e interesuara përpara marrjes së vendimit përfundimtar të hetimit;</w:t>
      </w:r>
    </w:p>
    <w:p w:rsidR="00612CDA" w:rsidRPr="00F26836" w:rsidRDefault="00612CDA" w:rsidP="00612CDA">
      <w:pPr>
        <w:pStyle w:val="Paragrafi"/>
        <w:rPr>
          <w:szCs w:val="22"/>
          <w:lang w:val="de-DE"/>
        </w:rPr>
      </w:pPr>
      <w:r w:rsidRPr="00F26836">
        <w:rPr>
          <w:szCs w:val="22"/>
          <w:lang w:val="de-DE"/>
        </w:rPr>
        <w:t>c)</w:t>
      </w:r>
      <w:r>
        <w:rPr>
          <w:szCs w:val="22"/>
          <w:lang w:val="de-DE"/>
        </w:rPr>
        <w:t xml:space="preserve"> </w:t>
      </w:r>
      <w:r w:rsidRPr="00F26836">
        <w:rPr>
          <w:szCs w:val="22"/>
          <w:lang w:val="de-DE"/>
        </w:rPr>
        <w:t>vendos ose jo p</w:t>
      </w:r>
      <w:r>
        <w:rPr>
          <w:szCs w:val="22"/>
          <w:lang w:val="de-DE"/>
        </w:rPr>
        <w:t>ë</w:t>
      </w:r>
      <w:r w:rsidRPr="00F26836">
        <w:rPr>
          <w:szCs w:val="22"/>
          <w:lang w:val="de-DE"/>
        </w:rPr>
        <w:t>r marrjen e masave t</w:t>
      </w:r>
      <w:r>
        <w:rPr>
          <w:szCs w:val="22"/>
          <w:lang w:val="de-DE"/>
        </w:rPr>
        <w:t>ë</w:t>
      </w:r>
      <w:r w:rsidRPr="00F26836">
        <w:rPr>
          <w:szCs w:val="22"/>
          <w:lang w:val="de-DE"/>
        </w:rPr>
        <w:t xml:space="preserve"> p</w:t>
      </w:r>
      <w:r>
        <w:rPr>
          <w:szCs w:val="22"/>
          <w:lang w:val="de-DE"/>
        </w:rPr>
        <w:t>ë</w:t>
      </w:r>
      <w:r w:rsidRPr="00F26836">
        <w:rPr>
          <w:szCs w:val="22"/>
          <w:lang w:val="de-DE"/>
        </w:rPr>
        <w:t>rkohshme;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d) vendos, në përfundim të hetimit, për marrjen ose jo të masave përfundimtare;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lastRenderedPageBreak/>
        <w:t>e) vendos për zgjatjen e periudhës së zbatimit të masave të përkohshme dhe të masave përfundimtare;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f) merr vendime të tjera, në përputhje me dispozitat e ligjit nr.9790, datë 19.7.2007 “Për masat mbrojtëse në importe</w:t>
      </w:r>
      <w:r>
        <w:rPr>
          <w:szCs w:val="22"/>
        </w:rPr>
        <w:t>”</w:t>
      </w:r>
      <w:r>
        <w:rPr>
          <w:szCs w:val="22"/>
          <w:lang w:val="de-DE"/>
        </w:rPr>
        <w:t xml:space="preserve"> dhe ligjit nr.9796, datë 23.7.2007 “Për masat antidumping dhe kundërbalancuese</w:t>
      </w:r>
      <w:r>
        <w:rPr>
          <w:szCs w:val="22"/>
        </w:rPr>
        <w:t>”</w:t>
      </w:r>
      <w:r>
        <w:rPr>
          <w:szCs w:val="22"/>
          <w:lang w:val="de-DE"/>
        </w:rPr>
        <w:t>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g) nxjerr udhëzime, në zbatim të këtyre ligjeve të sipërpërmendura;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h) vendos për thirrjen e ekspertëve dhe specialistëve për t’u dëgjuar në Komision;</w:t>
      </w:r>
    </w:p>
    <w:p w:rsidR="00612CDA" w:rsidRPr="00691EB0" w:rsidRDefault="00612CDA" w:rsidP="00612CDA">
      <w:pPr>
        <w:pStyle w:val="Paragrafi"/>
        <w:rPr>
          <w:szCs w:val="22"/>
        </w:rPr>
      </w:pPr>
      <w:r w:rsidRPr="00691EB0">
        <w:rPr>
          <w:szCs w:val="22"/>
        </w:rPr>
        <w:t>i)</w:t>
      </w:r>
      <w:r>
        <w:rPr>
          <w:szCs w:val="22"/>
        </w:rPr>
        <w:t xml:space="preserve"> </w:t>
      </w:r>
      <w:r w:rsidRPr="00691EB0">
        <w:rPr>
          <w:szCs w:val="22"/>
        </w:rPr>
        <w:t>harton rregullat e aplikimit dhe t</w:t>
      </w:r>
      <w:r>
        <w:rPr>
          <w:szCs w:val="22"/>
        </w:rPr>
        <w:t>ë</w:t>
      </w:r>
      <w:r w:rsidRPr="00691EB0">
        <w:rPr>
          <w:szCs w:val="22"/>
        </w:rPr>
        <w:t xml:space="preserve"> procedurave t</w:t>
      </w:r>
      <w:r>
        <w:rPr>
          <w:szCs w:val="22"/>
        </w:rPr>
        <w:t>ë</w:t>
      </w:r>
      <w:r w:rsidRPr="00691EB0">
        <w:rPr>
          <w:szCs w:val="22"/>
        </w:rPr>
        <w:t xml:space="preserve"> masave mbrojt</w:t>
      </w:r>
      <w:r>
        <w:rPr>
          <w:szCs w:val="22"/>
        </w:rPr>
        <w:t>ë</w:t>
      </w:r>
      <w:r w:rsidRPr="00691EB0">
        <w:rPr>
          <w:szCs w:val="22"/>
        </w:rPr>
        <w:t>se, masave antidumping dhe kund</w:t>
      </w:r>
      <w:r>
        <w:rPr>
          <w:szCs w:val="22"/>
        </w:rPr>
        <w:t>ë</w:t>
      </w:r>
      <w:r w:rsidRPr="00691EB0">
        <w:rPr>
          <w:szCs w:val="22"/>
        </w:rPr>
        <w:t>rbalancuese;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j)</w:t>
      </w:r>
      <w:r>
        <w:rPr>
          <w:szCs w:val="22"/>
        </w:rPr>
        <w:t xml:space="preserve"> </w:t>
      </w:r>
      <w:r w:rsidRPr="00924519">
        <w:rPr>
          <w:szCs w:val="22"/>
        </w:rPr>
        <w:t>miraton</w:t>
      </w:r>
      <w:r>
        <w:rPr>
          <w:szCs w:val="22"/>
        </w:rPr>
        <w:t xml:space="preserve"> modelet e formularëve, që duhet</w:t>
      </w:r>
      <w:r w:rsidRPr="00924519">
        <w:rPr>
          <w:szCs w:val="22"/>
        </w:rPr>
        <w:t xml:space="preserve"> të plotësohen nga subjekte të cilat janë palë në procesin e hetimit</w:t>
      </w:r>
      <w:r>
        <w:rPr>
          <w:szCs w:val="22"/>
        </w:rPr>
        <w:t>.</w:t>
      </w:r>
    </w:p>
    <w:p w:rsidR="00612CDA" w:rsidRPr="001B0C74" w:rsidRDefault="00612CDA" w:rsidP="00612CDA">
      <w:pPr>
        <w:pStyle w:val="Paragrafi"/>
        <w:rPr>
          <w:szCs w:val="22"/>
        </w:rPr>
      </w:pPr>
      <w:r w:rsidRPr="001B0C74">
        <w:rPr>
          <w:szCs w:val="22"/>
        </w:rPr>
        <w:t>4.</w:t>
      </w:r>
      <w:r>
        <w:rPr>
          <w:szCs w:val="22"/>
        </w:rPr>
        <w:t xml:space="preserve"> </w:t>
      </w:r>
      <w:r w:rsidRPr="001B0C74">
        <w:rPr>
          <w:szCs w:val="22"/>
        </w:rPr>
        <w:t>Kryetari i Komisionit kryen k</w:t>
      </w:r>
      <w:r>
        <w:rPr>
          <w:szCs w:val="22"/>
        </w:rPr>
        <w:t>ë</w:t>
      </w:r>
      <w:r w:rsidRPr="001B0C74">
        <w:rPr>
          <w:szCs w:val="22"/>
        </w:rPr>
        <w:t>to detyra:</w:t>
      </w:r>
    </w:p>
    <w:p w:rsidR="00612CDA" w:rsidRDefault="00612CDA" w:rsidP="00612CDA">
      <w:pPr>
        <w:pStyle w:val="Paragrafi"/>
        <w:rPr>
          <w:szCs w:val="22"/>
        </w:rPr>
      </w:pPr>
      <w:r>
        <w:rPr>
          <w:szCs w:val="22"/>
        </w:rPr>
        <w:t>a) drejton mbledhjet e komisionit;</w:t>
      </w:r>
    </w:p>
    <w:p w:rsidR="00612CDA" w:rsidRDefault="00612CDA" w:rsidP="00612CDA">
      <w:pPr>
        <w:pStyle w:val="Paragrafi"/>
        <w:rPr>
          <w:szCs w:val="22"/>
        </w:rPr>
      </w:pPr>
      <w:r>
        <w:rPr>
          <w:szCs w:val="22"/>
        </w:rPr>
        <w:t>b) vendos për rendin e ditës dhe datën e mbledhjes së komisionit;</w:t>
      </w:r>
    </w:p>
    <w:p w:rsidR="00612CDA" w:rsidRPr="001B0C74" w:rsidRDefault="00612CDA" w:rsidP="00612CDA">
      <w:pPr>
        <w:pStyle w:val="Paragrafi"/>
        <w:rPr>
          <w:szCs w:val="22"/>
          <w:lang w:val="de-DE"/>
        </w:rPr>
      </w:pPr>
      <w:r w:rsidRPr="001B0C74">
        <w:rPr>
          <w:szCs w:val="22"/>
          <w:lang w:val="de-DE"/>
        </w:rPr>
        <w:t>c)</w:t>
      </w:r>
      <w:r>
        <w:rPr>
          <w:szCs w:val="22"/>
          <w:lang w:val="de-DE"/>
        </w:rPr>
        <w:t xml:space="preserve"> </w:t>
      </w:r>
      <w:r w:rsidRPr="001B0C74">
        <w:rPr>
          <w:szCs w:val="22"/>
          <w:lang w:val="de-DE"/>
        </w:rPr>
        <w:t>organizon konsulta paraprake me an</w:t>
      </w:r>
      <w:r>
        <w:rPr>
          <w:szCs w:val="22"/>
          <w:lang w:val="de-DE"/>
        </w:rPr>
        <w:t>ë</w:t>
      </w:r>
      <w:r w:rsidRPr="001B0C74">
        <w:rPr>
          <w:szCs w:val="22"/>
          <w:lang w:val="de-DE"/>
        </w:rPr>
        <w:t>tar</w:t>
      </w:r>
      <w:r>
        <w:rPr>
          <w:szCs w:val="22"/>
          <w:lang w:val="de-DE"/>
        </w:rPr>
        <w:t>ë</w:t>
      </w:r>
      <w:r w:rsidRPr="001B0C74">
        <w:rPr>
          <w:szCs w:val="22"/>
          <w:lang w:val="de-DE"/>
        </w:rPr>
        <w:t>t e komisionit;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d) ngarkon me detyra të veçanta anëtarët në kuadër të zbatimit të vendimeve;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e) thërret në takime të veçanta anëtarët për t’u informuar për ecurinë e punëve;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f) nënshkruan vendimet e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5. Në mbledhje anëtarët e Komisionit janë të barabartë. Anëtari ka të drejtë: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a) të bëjë pyetje kundrejt palëve, ekspertëve në interes të çështjes në hetim;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b) të kërkojë sqarime për materialet e paraqitura;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c) të ngrejë probleme në interes të punës së Komisionit;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d) sugjeron rend dite për mbledhjet e Komisionit;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e) merr përsipër detyrimet e institucionit që përfaqëson për problemet përkatëse të veprimtarisë së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6. Kryetari vendos për datën dhe kohën e mbledhjeve të radhës. Në rast nevoje, ai mund të thërrasë dhe mbledhje të jashtëzakonshme të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7. Lajmërimi për thirrjen e një mbledhjeje duhet të tregojë në mënyrë të qartë dhe të detajuar çështjet për të cilat do të diskutohet. Bashkëlidhur lajmërimit duhet të jetë rendi i ditës, që duhet t’u shpërndahet të gjithë anëtarëve, 7 (shtatë) ditë pune përpara zhvillimit të saj.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8. Si rregull, raportet hetimore, të përgatitura nga sekretariati teknik, duhet t’u vihen në dispozicion të gjithë anëtarëve të Komisionit, të paktën 5 (pesë) ditë pune përpara zhvillimit të mbledhjes.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9. Mbledhjet e Komisionit janë të vlefshme, kur janë të pranishëm jo më pak se ¾ e anëtarëve të tij. Në fillim të mbledhjes, kryetari i Komisionit verifikon numrin e pjesëmarrësve dhe në mungesë të shumicës së nevojshme, vendos thirrjen e mbledhjes tjetër jo më vonë se 3 (tre) ditë pune nga mbledhja paraardhëse. Listëprezenca hartohet nga sekretariati teknik dhe nënshkruhet nga kryetari i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10. Në përfundim të shqyrtimit të çështjeve sipas rendit të ditës, kryetari i Komisionit vendos hedhjen në votë të çështjeve për të cilat duhet të merren vendim nga Komisionit. Vendimet e Komisionit merren me shumicën e votave (shumicë absolute). Në rast barazie votash, vendos vota e kryetarit të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11. Në rast se kryetari i Komisionit mungon apo është në pamundësi për t’i ushtruar kompetencat për drejtimin e Komisionit, mbledhjet do të drejtohen nga anëtari me pozitën më të lartë hierarkike, në përputhje me nenin 5 pika 3 të ligjit nr.9790, datë 19.7.2007 “Për masat mbrojtëse në importe</w:t>
      </w:r>
      <w:r>
        <w:rPr>
          <w:szCs w:val="22"/>
        </w:rPr>
        <w:t>”</w:t>
      </w:r>
      <w:r>
        <w:rPr>
          <w:szCs w:val="22"/>
          <w:lang w:val="de-DE"/>
        </w:rPr>
        <w:t>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12. Mbledhjet e Komisionit janë të mbyllura dhe vetëm në raste të veçanta mund të merret vendim që ato të bëhen publike. Për çdo mbledhje mbahet procesverbali, i cili nënshkruhet nga të gjithë anëtarët pjesëmarrës në mbledhje dhe sekretariati teknik.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 xml:space="preserve">13. Vendimet e Komisionit për vlerësimin e masave për importet, janë të detyrueshme për t’u zbatuar nga të gjitha palët e përfshira në procesin e hetimit, si dhe strukturat dhe personat </w:t>
      </w:r>
      <w:r>
        <w:rPr>
          <w:szCs w:val="22"/>
          <w:lang w:val="de-DE"/>
        </w:rPr>
        <w:lastRenderedPageBreak/>
        <w:t>e ngarkuar prej tij.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14. Qëndrimet publike të kryetarit, anëtarëve të tjerë të Komisionit për çështjet konkrete në shqyrtim, si rregull, konsultohen edhe/ose diskutohen paraprakisht në mbledhjet e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15. Sekretariati teknik kryen detyrat e mëposhtme:</w:t>
      </w:r>
    </w:p>
    <w:p w:rsidR="00612CDA" w:rsidRPr="00C47019" w:rsidRDefault="00612CDA" w:rsidP="00612CDA">
      <w:pPr>
        <w:pStyle w:val="Paragrafi"/>
        <w:rPr>
          <w:szCs w:val="22"/>
        </w:rPr>
      </w:pPr>
      <w:r w:rsidRPr="00C47019">
        <w:rPr>
          <w:szCs w:val="22"/>
        </w:rPr>
        <w:t>a)</w:t>
      </w:r>
      <w:r>
        <w:rPr>
          <w:szCs w:val="22"/>
        </w:rPr>
        <w:t xml:space="preserve"> </w:t>
      </w:r>
      <w:r w:rsidRPr="00C47019">
        <w:rPr>
          <w:szCs w:val="22"/>
        </w:rPr>
        <w:t>organizon dhe drejton veprimtarin</w:t>
      </w:r>
      <w:r>
        <w:rPr>
          <w:szCs w:val="22"/>
        </w:rPr>
        <w:t>ë</w:t>
      </w:r>
      <w:r w:rsidRPr="00C47019">
        <w:rPr>
          <w:szCs w:val="22"/>
        </w:rPr>
        <w:t xml:space="preserve"> p</w:t>
      </w:r>
      <w:r>
        <w:rPr>
          <w:szCs w:val="22"/>
        </w:rPr>
        <w:t>ë</w:t>
      </w:r>
      <w:r w:rsidRPr="00C47019">
        <w:rPr>
          <w:szCs w:val="22"/>
        </w:rPr>
        <w:t>r p</w:t>
      </w:r>
      <w:r>
        <w:rPr>
          <w:szCs w:val="22"/>
        </w:rPr>
        <w:t>ë</w:t>
      </w:r>
      <w:r w:rsidRPr="00C47019">
        <w:rPr>
          <w:szCs w:val="22"/>
        </w:rPr>
        <w:t>rgatitjen me nivel t</w:t>
      </w:r>
      <w:r>
        <w:rPr>
          <w:szCs w:val="22"/>
        </w:rPr>
        <w:t>ë</w:t>
      </w:r>
      <w:r w:rsidRPr="00C47019">
        <w:rPr>
          <w:szCs w:val="22"/>
        </w:rPr>
        <w:t xml:space="preserve"> mbledhjeve;</w:t>
      </w:r>
    </w:p>
    <w:p w:rsidR="00612CDA" w:rsidRPr="00D12B21" w:rsidRDefault="00612CDA" w:rsidP="00612CDA">
      <w:pPr>
        <w:pStyle w:val="Paragrafi"/>
        <w:rPr>
          <w:szCs w:val="22"/>
        </w:rPr>
      </w:pPr>
      <w:r w:rsidRPr="00D12B21">
        <w:rPr>
          <w:szCs w:val="22"/>
        </w:rPr>
        <w:t>b)</w:t>
      </w:r>
      <w:r>
        <w:rPr>
          <w:szCs w:val="22"/>
        </w:rPr>
        <w:t xml:space="preserve"> </w:t>
      </w:r>
      <w:r w:rsidRPr="00D12B21">
        <w:rPr>
          <w:szCs w:val="22"/>
        </w:rPr>
        <w:t>b</w:t>
      </w:r>
      <w:r>
        <w:rPr>
          <w:szCs w:val="22"/>
        </w:rPr>
        <w:t>ë</w:t>
      </w:r>
      <w:r w:rsidRPr="00D12B21">
        <w:rPr>
          <w:szCs w:val="22"/>
        </w:rPr>
        <w:t>n shqyrtimin e t</w:t>
      </w:r>
      <w:r>
        <w:rPr>
          <w:szCs w:val="22"/>
        </w:rPr>
        <w:t>ë</w:t>
      </w:r>
      <w:r w:rsidRPr="00D12B21">
        <w:rPr>
          <w:szCs w:val="22"/>
        </w:rPr>
        <w:t xml:space="preserve"> dh</w:t>
      </w:r>
      <w:r>
        <w:rPr>
          <w:szCs w:val="22"/>
        </w:rPr>
        <w:t>ë</w:t>
      </w:r>
      <w:r w:rsidRPr="00D12B21">
        <w:rPr>
          <w:szCs w:val="22"/>
        </w:rPr>
        <w:t>nave t</w:t>
      </w:r>
      <w:r>
        <w:rPr>
          <w:szCs w:val="22"/>
        </w:rPr>
        <w:t>ë</w:t>
      </w:r>
      <w:r w:rsidRPr="00D12B21">
        <w:rPr>
          <w:szCs w:val="22"/>
        </w:rPr>
        <w:t xml:space="preserve"> paraqitura n</w:t>
      </w:r>
      <w:r>
        <w:rPr>
          <w:szCs w:val="22"/>
        </w:rPr>
        <w:t>ë aplikim dhe ia paraqet K</w:t>
      </w:r>
      <w:r w:rsidRPr="00D12B21">
        <w:rPr>
          <w:szCs w:val="22"/>
        </w:rPr>
        <w:t>omisionit p</w:t>
      </w:r>
      <w:r>
        <w:rPr>
          <w:szCs w:val="22"/>
        </w:rPr>
        <w:t>ë</w:t>
      </w:r>
      <w:r w:rsidRPr="00D12B21">
        <w:rPr>
          <w:szCs w:val="22"/>
        </w:rPr>
        <w:t>r vler</w:t>
      </w:r>
      <w:r>
        <w:rPr>
          <w:szCs w:val="22"/>
        </w:rPr>
        <w:t>ë</w:t>
      </w:r>
      <w:r w:rsidRPr="00D12B21">
        <w:rPr>
          <w:szCs w:val="22"/>
        </w:rPr>
        <w:t>sim</w:t>
      </w:r>
      <w:r>
        <w:rPr>
          <w:szCs w:val="22"/>
        </w:rPr>
        <w:t>,</w:t>
      </w:r>
      <w:r w:rsidRPr="00D12B21">
        <w:rPr>
          <w:szCs w:val="22"/>
        </w:rPr>
        <w:t xml:space="preserve"> duke qen</w:t>
      </w:r>
      <w:r>
        <w:rPr>
          <w:szCs w:val="22"/>
        </w:rPr>
        <w:t>ë</w:t>
      </w:r>
      <w:r w:rsidRPr="00D12B21">
        <w:rPr>
          <w:szCs w:val="22"/>
        </w:rPr>
        <w:t xml:space="preserve"> se </w:t>
      </w:r>
      <w:r>
        <w:rPr>
          <w:szCs w:val="22"/>
        </w:rPr>
        <w:t>ë</w:t>
      </w:r>
      <w:r w:rsidRPr="00D12B21">
        <w:rPr>
          <w:szCs w:val="22"/>
        </w:rPr>
        <w:t>sht</w:t>
      </w:r>
      <w:r>
        <w:rPr>
          <w:szCs w:val="22"/>
        </w:rPr>
        <w:t>ë</w:t>
      </w:r>
      <w:r w:rsidRPr="00D12B21">
        <w:rPr>
          <w:szCs w:val="22"/>
        </w:rPr>
        <w:t xml:space="preserve"> pjes</w:t>
      </w:r>
      <w:r>
        <w:rPr>
          <w:szCs w:val="22"/>
        </w:rPr>
        <w:t>ë</w:t>
      </w:r>
      <w:r w:rsidRPr="00D12B21">
        <w:rPr>
          <w:szCs w:val="22"/>
        </w:rPr>
        <w:t xml:space="preserve"> e r</w:t>
      </w:r>
      <w:r>
        <w:rPr>
          <w:szCs w:val="22"/>
        </w:rPr>
        <w:t>ë</w:t>
      </w:r>
      <w:r w:rsidRPr="00D12B21">
        <w:rPr>
          <w:szCs w:val="22"/>
        </w:rPr>
        <w:t>nd</w:t>
      </w:r>
      <w:r>
        <w:rPr>
          <w:szCs w:val="22"/>
        </w:rPr>
        <w:t>ë</w:t>
      </w:r>
      <w:r w:rsidRPr="00D12B21">
        <w:rPr>
          <w:szCs w:val="22"/>
        </w:rPr>
        <w:t>sishme e gjith</w:t>
      </w:r>
      <w:r>
        <w:rPr>
          <w:szCs w:val="22"/>
        </w:rPr>
        <w:t>ë</w:t>
      </w:r>
      <w:r w:rsidRPr="00D12B21">
        <w:rPr>
          <w:szCs w:val="22"/>
        </w:rPr>
        <w:t xml:space="preserve"> procesit t</w:t>
      </w:r>
      <w:r>
        <w:rPr>
          <w:szCs w:val="22"/>
        </w:rPr>
        <w:t>ë hetimit;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c)</w:t>
      </w:r>
      <w:r>
        <w:rPr>
          <w:szCs w:val="22"/>
        </w:rPr>
        <w:t xml:space="preserve"> </w:t>
      </w:r>
      <w:r w:rsidRPr="00924519">
        <w:rPr>
          <w:szCs w:val="22"/>
        </w:rPr>
        <w:t xml:space="preserve"> bën njoftimin e anëtarëve dhe të </w:t>
      </w:r>
      <w:r>
        <w:rPr>
          <w:szCs w:val="22"/>
        </w:rPr>
        <w:t xml:space="preserve">të </w:t>
      </w:r>
      <w:r w:rsidRPr="00924519">
        <w:rPr>
          <w:szCs w:val="22"/>
        </w:rPr>
        <w:t>ftuarve në mbledhje;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d) shpërndan rendin e ditës dhe materialet e përgatitura;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e) kujdeset për përgatitjen e projektvendimeve, raporteve që do të paraqiten për miratim në Komision;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f) koordinon punën me institucionet që janë ngarkuar me problemet që do të diskutohen në lidhje me çështjet nën shqyrtim, për përgatitjen në kohë të materialeve për mbledhjen e komisionit dhe për zbatimin e vendimeve të marra;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g) ruan dhe administron dokumentacionin mbi veprimtarinë e këtij komisioni.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17. Sekretariati teknik ka për detyrë të kujdeset për shkëmbimin e informacionit, dërgimin e njoftimeve dhe përgatitjen e materialeve që shqyrtohen në mbledhjen e Komisionit, si dhe mbajtjen e procesverbaleve të mbledhjes.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18. Sekretariati teknik kujdeset dhe përgjigjet për dërgimin dhe marrjen e të dhënave, njofton për fillimin e hetimit shtetet, produktet e të cilave janë objekt i hetimit dhe palët e interesuara që kanë interesa, si eksportuesit, importuesit dhe shoqatat përfaqësuese të importuesve ose eksportuesve të interesuar, si dhe vendin e origjinës dhe/ose eksportues e paditësit. Sekretariati teknik bën një njoftimin publik në Fletoren Zyrtare dhe në një gazetë me përhapje të gjerë në Republikën e Shqipërisë.</w:t>
      </w:r>
    </w:p>
    <w:p w:rsidR="00612CDA" w:rsidRPr="00F64F85" w:rsidRDefault="00612CDA" w:rsidP="00612CDA">
      <w:pPr>
        <w:pStyle w:val="Paragrafi"/>
        <w:rPr>
          <w:szCs w:val="22"/>
          <w:lang w:val="de-DE"/>
        </w:rPr>
      </w:pPr>
      <w:r w:rsidRPr="00F64F85">
        <w:rPr>
          <w:szCs w:val="22"/>
          <w:lang w:val="de-DE"/>
        </w:rPr>
        <w:t>19.</w:t>
      </w:r>
      <w:r>
        <w:rPr>
          <w:szCs w:val="22"/>
          <w:lang w:val="de-DE"/>
        </w:rPr>
        <w:t xml:space="preserve"> Me fillimin e hetimeve, sekretariati teknik</w:t>
      </w:r>
      <w:r w:rsidRPr="00F64F85">
        <w:rPr>
          <w:szCs w:val="22"/>
          <w:lang w:val="de-DE"/>
        </w:rPr>
        <w:t xml:space="preserve"> i d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>rgon pyet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>sor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çdo personi, q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beson se mund 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ket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dh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>na 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vlefshme p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>r hetimin, duke</w:t>
      </w:r>
      <w:r>
        <w:rPr>
          <w:szCs w:val="22"/>
          <w:lang w:val="de-DE"/>
        </w:rPr>
        <w:t xml:space="preserve"> </w:t>
      </w:r>
      <w:r w:rsidRPr="00F64F85">
        <w:rPr>
          <w:szCs w:val="22"/>
          <w:lang w:val="de-DE"/>
        </w:rPr>
        <w:t>p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>rfshir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prodhues 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njohur vendas, importues, eksportues, prodhues 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huaj dhe qeverive t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vendeve, produktet e t</w:t>
      </w:r>
      <w:r>
        <w:rPr>
          <w:szCs w:val="22"/>
          <w:lang w:val="de-DE"/>
        </w:rPr>
        <w:t>ë cila</w:t>
      </w:r>
      <w:r w:rsidRPr="00F64F85">
        <w:rPr>
          <w:szCs w:val="22"/>
          <w:lang w:val="de-DE"/>
        </w:rPr>
        <w:t>ve jan</w:t>
      </w:r>
      <w:r>
        <w:rPr>
          <w:szCs w:val="22"/>
          <w:lang w:val="de-DE"/>
        </w:rPr>
        <w:t>ë</w:t>
      </w:r>
      <w:r w:rsidRPr="00F64F85">
        <w:rPr>
          <w:szCs w:val="22"/>
          <w:lang w:val="de-DE"/>
        </w:rPr>
        <w:t xml:space="preserve"> objekt hetimi.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20. Sekretariati teknik ka të drejtë të kryejë çdo ditë veprime, pa kaluar në Komision, për rastet e shënuara më poshtë, mbështetur në dokumentacionin përkatës të paraqitur në zbatim të kësaj rregulloreje. Sekretariati teknik komunikon me subjektet kërkuese:</w:t>
      </w:r>
    </w:p>
    <w:p w:rsidR="00612CDA" w:rsidRPr="00213CC3" w:rsidRDefault="00612CDA" w:rsidP="00612CDA">
      <w:pPr>
        <w:pStyle w:val="Paragrafi"/>
        <w:rPr>
          <w:szCs w:val="22"/>
        </w:rPr>
      </w:pPr>
      <w:r w:rsidRPr="00213CC3">
        <w:rPr>
          <w:szCs w:val="22"/>
        </w:rPr>
        <w:t>a) për plotësim dokumentacioni sipas kërkesave të ligjit;</w:t>
      </w:r>
    </w:p>
    <w:p w:rsidR="00612CDA" w:rsidRPr="00213CC3" w:rsidRDefault="00612CDA" w:rsidP="00612CDA">
      <w:pPr>
        <w:pStyle w:val="Paragrafi"/>
        <w:rPr>
          <w:szCs w:val="22"/>
        </w:rPr>
      </w:pPr>
      <w:r w:rsidRPr="00213CC3">
        <w:rPr>
          <w:szCs w:val="22"/>
        </w:rPr>
        <w:t>b) për dhënie informacioni, pranim dokumentesh, faturash doganore dhe për sqarime të tjera;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c)</w:t>
      </w:r>
      <w:r>
        <w:rPr>
          <w:szCs w:val="22"/>
        </w:rPr>
        <w:t xml:space="preserve"> </w:t>
      </w:r>
      <w:r w:rsidRPr="00924519">
        <w:rPr>
          <w:szCs w:val="22"/>
        </w:rPr>
        <w:t>për shpjegimin e legjislacionit subjekteve të interesuara.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21.</w:t>
      </w:r>
      <w:r>
        <w:rPr>
          <w:szCs w:val="22"/>
        </w:rPr>
        <w:t xml:space="preserve"> </w:t>
      </w:r>
      <w:r w:rsidRPr="00924519">
        <w:rPr>
          <w:szCs w:val="22"/>
        </w:rPr>
        <w:t>Në Komisionin pë</w:t>
      </w:r>
      <w:r>
        <w:rPr>
          <w:szCs w:val="22"/>
        </w:rPr>
        <w:t>r v</w:t>
      </w:r>
      <w:r w:rsidRPr="00924519">
        <w:rPr>
          <w:szCs w:val="22"/>
        </w:rPr>
        <w:t>lerësimin e masave për importet mbahet një regjistër i përgjithshëm pë</w:t>
      </w:r>
      <w:r>
        <w:rPr>
          <w:szCs w:val="22"/>
        </w:rPr>
        <w:t>r r</w:t>
      </w:r>
      <w:r w:rsidRPr="00924519">
        <w:rPr>
          <w:szCs w:val="22"/>
        </w:rPr>
        <w:t>egjistrimin, ruajtjen dhe shfrytëzimin e korrespondencës.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22.</w:t>
      </w:r>
      <w:r>
        <w:rPr>
          <w:szCs w:val="22"/>
        </w:rPr>
        <w:t xml:space="preserve"> Korrespondenca e </w:t>
      </w:r>
      <w:r w:rsidRPr="00924519">
        <w:rPr>
          <w:szCs w:val="22"/>
        </w:rPr>
        <w:t>regjistruar vendoset në dosje dhe arkivohet në arkivën e Ministrisë së Ekonomisë, Tregtisë dhe Energjetikës.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23.</w:t>
      </w:r>
      <w:r>
        <w:rPr>
          <w:szCs w:val="22"/>
        </w:rPr>
        <w:t xml:space="preserve"> </w:t>
      </w:r>
      <w:r w:rsidRPr="00924519">
        <w:rPr>
          <w:szCs w:val="22"/>
        </w:rPr>
        <w:t>Kërkesa për fillimin e hetimit dhe dokumentacioni përkatës bashkë</w:t>
      </w:r>
      <w:r>
        <w:rPr>
          <w:szCs w:val="22"/>
        </w:rPr>
        <w:t>ngjitur, ankesat dhe ma</w:t>
      </w:r>
      <w:r w:rsidRPr="00924519">
        <w:rPr>
          <w:szCs w:val="22"/>
        </w:rPr>
        <w:t>teriale të tjera që i adresohen Komisionit i dërgohen zyrtarisht të protokolluara nga subjektet dhe të mbyllura në zarfin përkatës. Në faqen e jashtme të zarfit që mban adresën e plotë të subjektit kërkues, nënshkrimin dhe vulën e tij, të shkruhet adresa e Ministrisë së Ekonomisë</w:t>
      </w:r>
      <w:r>
        <w:rPr>
          <w:szCs w:val="22"/>
        </w:rPr>
        <w:t>,</w:t>
      </w:r>
      <w:r w:rsidRPr="00924519">
        <w:rPr>
          <w:szCs w:val="22"/>
        </w:rPr>
        <w:t xml:space="preserve"> Tregtisë dhe Energjetikës, me shënimin drejtuar Komisionit pë</w:t>
      </w:r>
      <w:r>
        <w:rPr>
          <w:szCs w:val="22"/>
        </w:rPr>
        <w:t>r v</w:t>
      </w:r>
      <w:r w:rsidRPr="00924519">
        <w:rPr>
          <w:szCs w:val="22"/>
        </w:rPr>
        <w:t>lerë</w:t>
      </w:r>
      <w:r>
        <w:rPr>
          <w:szCs w:val="22"/>
        </w:rPr>
        <w:t>simin e m</w:t>
      </w:r>
      <w:r w:rsidRPr="00924519">
        <w:rPr>
          <w:szCs w:val="22"/>
        </w:rPr>
        <w:t>asave pë</w:t>
      </w:r>
      <w:r>
        <w:rPr>
          <w:szCs w:val="22"/>
        </w:rPr>
        <w:t>r i</w:t>
      </w:r>
      <w:r w:rsidRPr="00924519">
        <w:rPr>
          <w:szCs w:val="22"/>
        </w:rPr>
        <w:t>mportet.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24.</w:t>
      </w:r>
      <w:r>
        <w:rPr>
          <w:szCs w:val="22"/>
        </w:rPr>
        <w:t xml:space="preserve"> </w:t>
      </w:r>
      <w:r w:rsidRPr="00924519">
        <w:rPr>
          <w:szCs w:val="22"/>
        </w:rPr>
        <w:t>Kërkesa e protokolluar</w:t>
      </w:r>
      <w:r>
        <w:rPr>
          <w:szCs w:val="22"/>
        </w:rPr>
        <w:t>, pasi konsiderohet nga k</w:t>
      </w:r>
      <w:r w:rsidRPr="00924519">
        <w:rPr>
          <w:szCs w:val="22"/>
        </w:rPr>
        <w:t>ry</w:t>
      </w:r>
      <w:r>
        <w:rPr>
          <w:szCs w:val="22"/>
        </w:rPr>
        <w:t>etari i Komisionit, i adresohet s</w:t>
      </w:r>
      <w:r w:rsidRPr="00924519">
        <w:rPr>
          <w:szCs w:val="22"/>
        </w:rPr>
        <w:t>ekretariatit teknik, i cili pë</w:t>
      </w:r>
      <w:r>
        <w:rPr>
          <w:szCs w:val="22"/>
        </w:rPr>
        <w:t>r çdo</w:t>
      </w:r>
      <w:r w:rsidRPr="00924519">
        <w:rPr>
          <w:szCs w:val="22"/>
        </w:rPr>
        <w:t xml:space="preserve"> subjekt hap një dosje të veçantë dhe e ruan atë për të paktën një vit kalendarik, pastaj e dorëzon në arkivën e Ministrisë së Ekonomisë, Tregtisë dhe Energjetikës.</w:t>
      </w:r>
    </w:p>
    <w:p w:rsidR="00612CDA" w:rsidRPr="00924519" w:rsidRDefault="00612CDA" w:rsidP="00612CDA">
      <w:pPr>
        <w:pStyle w:val="Paragrafi"/>
        <w:rPr>
          <w:szCs w:val="22"/>
        </w:rPr>
      </w:pPr>
      <w:r w:rsidRPr="00924519">
        <w:rPr>
          <w:szCs w:val="22"/>
        </w:rPr>
        <w:t>25.</w:t>
      </w:r>
      <w:r>
        <w:rPr>
          <w:szCs w:val="22"/>
        </w:rPr>
        <w:t xml:space="preserve"> </w:t>
      </w:r>
      <w:r w:rsidRPr="00924519">
        <w:rPr>
          <w:szCs w:val="22"/>
        </w:rPr>
        <w:t>Çdo kërkesë e ardhur:</w:t>
      </w:r>
    </w:p>
    <w:p w:rsidR="00612CDA" w:rsidRPr="00142B3E" w:rsidRDefault="00612CDA" w:rsidP="00612CDA">
      <w:pPr>
        <w:pStyle w:val="Paragrafi"/>
        <w:rPr>
          <w:szCs w:val="22"/>
        </w:rPr>
      </w:pPr>
      <w:r w:rsidRPr="00142B3E">
        <w:rPr>
          <w:szCs w:val="22"/>
        </w:rPr>
        <w:t>a)</w:t>
      </w:r>
      <w:r>
        <w:rPr>
          <w:szCs w:val="22"/>
        </w:rPr>
        <w:t xml:space="preserve"> </w:t>
      </w:r>
      <w:r w:rsidRPr="00142B3E">
        <w:rPr>
          <w:szCs w:val="22"/>
        </w:rPr>
        <w:t>shoq</w:t>
      </w:r>
      <w:r>
        <w:rPr>
          <w:szCs w:val="22"/>
        </w:rPr>
        <w:t>ë</w:t>
      </w:r>
      <w:r w:rsidRPr="00142B3E">
        <w:rPr>
          <w:szCs w:val="22"/>
        </w:rPr>
        <w:t>rohet detyrimisht me relacion shpjegues</w:t>
      </w:r>
      <w:r>
        <w:rPr>
          <w:szCs w:val="22"/>
        </w:rPr>
        <w:t>,</w:t>
      </w:r>
      <w:r w:rsidRPr="00142B3E">
        <w:rPr>
          <w:szCs w:val="22"/>
        </w:rPr>
        <w:t xml:space="preserve"> i cili p</w:t>
      </w:r>
      <w:r>
        <w:rPr>
          <w:szCs w:val="22"/>
        </w:rPr>
        <w:t>ërgatitet nga sekretariati teknik;</w:t>
      </w:r>
    </w:p>
    <w:p w:rsidR="00612CDA" w:rsidRDefault="00612CDA" w:rsidP="00612CDA">
      <w:pPr>
        <w:pStyle w:val="Paragrafi"/>
        <w:rPr>
          <w:szCs w:val="22"/>
        </w:rPr>
      </w:pPr>
      <w:r>
        <w:rPr>
          <w:szCs w:val="22"/>
        </w:rPr>
        <w:t>b) i paraqitet Komisionit për shqyrtim nëse ajo është në përputhje me kushtet dhe kriteret e përcaktuara në këtë rregullore.</w:t>
      </w:r>
    </w:p>
    <w:p w:rsidR="00612CDA" w:rsidRPr="002F212B" w:rsidRDefault="00612CDA" w:rsidP="00612CDA">
      <w:pPr>
        <w:pStyle w:val="Paragrafi"/>
        <w:rPr>
          <w:szCs w:val="22"/>
        </w:rPr>
      </w:pPr>
      <w:r w:rsidRPr="002F212B">
        <w:rPr>
          <w:szCs w:val="22"/>
        </w:rPr>
        <w:t>26.</w:t>
      </w:r>
      <w:r>
        <w:rPr>
          <w:szCs w:val="22"/>
        </w:rPr>
        <w:t xml:space="preserve"> </w:t>
      </w:r>
      <w:r w:rsidRPr="002F212B">
        <w:rPr>
          <w:szCs w:val="22"/>
        </w:rPr>
        <w:t>N</w:t>
      </w:r>
      <w:r>
        <w:rPr>
          <w:szCs w:val="22"/>
        </w:rPr>
        <w:t>ë</w:t>
      </w:r>
      <w:r w:rsidRPr="002F212B">
        <w:rPr>
          <w:szCs w:val="22"/>
        </w:rPr>
        <w:t xml:space="preserve"> rastet kur nj</w:t>
      </w:r>
      <w:r>
        <w:rPr>
          <w:szCs w:val="22"/>
        </w:rPr>
        <w:t>ë</w:t>
      </w:r>
      <w:r w:rsidRPr="002F212B">
        <w:rPr>
          <w:szCs w:val="22"/>
        </w:rPr>
        <w:t xml:space="preserve"> an</w:t>
      </w:r>
      <w:r>
        <w:rPr>
          <w:szCs w:val="22"/>
        </w:rPr>
        <w:t>ë</w:t>
      </w:r>
      <w:r w:rsidRPr="002F212B">
        <w:rPr>
          <w:szCs w:val="22"/>
        </w:rPr>
        <w:t>tar i Komisionit, sipas legjislacionit n</w:t>
      </w:r>
      <w:r>
        <w:rPr>
          <w:szCs w:val="22"/>
        </w:rPr>
        <w:t>ë</w:t>
      </w:r>
      <w:r w:rsidRPr="002F212B">
        <w:rPr>
          <w:szCs w:val="22"/>
        </w:rPr>
        <w:t xml:space="preserve"> fuqi, ka konflikte interesash, n</w:t>
      </w:r>
      <w:r>
        <w:rPr>
          <w:szCs w:val="22"/>
        </w:rPr>
        <w:t>ë</w:t>
      </w:r>
      <w:r w:rsidRPr="002F212B">
        <w:rPr>
          <w:szCs w:val="22"/>
        </w:rPr>
        <w:t xml:space="preserve"> lidhje me ç</w:t>
      </w:r>
      <w:r>
        <w:rPr>
          <w:szCs w:val="22"/>
        </w:rPr>
        <w:t>ë</w:t>
      </w:r>
      <w:r w:rsidRPr="002F212B">
        <w:rPr>
          <w:szCs w:val="22"/>
        </w:rPr>
        <w:t>shtjen q</w:t>
      </w:r>
      <w:r>
        <w:rPr>
          <w:szCs w:val="22"/>
        </w:rPr>
        <w:t>ë</w:t>
      </w:r>
      <w:r w:rsidRPr="002F212B">
        <w:rPr>
          <w:szCs w:val="22"/>
        </w:rPr>
        <w:t xml:space="preserve"> shqyrtohet, ai duhet t</w:t>
      </w:r>
      <w:r>
        <w:rPr>
          <w:szCs w:val="22"/>
        </w:rPr>
        <w:t>ë</w:t>
      </w:r>
      <w:r w:rsidRPr="002F212B">
        <w:rPr>
          <w:szCs w:val="22"/>
        </w:rPr>
        <w:t xml:space="preserve"> lajm</w:t>
      </w:r>
      <w:r>
        <w:rPr>
          <w:szCs w:val="22"/>
        </w:rPr>
        <w:t>ë</w:t>
      </w:r>
      <w:r w:rsidRPr="002F212B">
        <w:rPr>
          <w:szCs w:val="22"/>
        </w:rPr>
        <w:t>roj</w:t>
      </w:r>
      <w:r>
        <w:rPr>
          <w:szCs w:val="22"/>
        </w:rPr>
        <w:t>ë</w:t>
      </w:r>
      <w:r w:rsidRPr="002F212B">
        <w:rPr>
          <w:szCs w:val="22"/>
        </w:rPr>
        <w:t xml:space="preserve"> menj</w:t>
      </w:r>
      <w:r>
        <w:rPr>
          <w:szCs w:val="22"/>
        </w:rPr>
        <w:t>ë</w:t>
      </w:r>
      <w:r w:rsidRPr="002F212B">
        <w:rPr>
          <w:szCs w:val="22"/>
        </w:rPr>
        <w:t>her</w:t>
      </w:r>
      <w:r>
        <w:rPr>
          <w:szCs w:val="22"/>
        </w:rPr>
        <w:t>ë k</w:t>
      </w:r>
      <w:r w:rsidRPr="002F212B">
        <w:rPr>
          <w:szCs w:val="22"/>
        </w:rPr>
        <w:t>ryetarin e Komisionit.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 w:rsidRPr="00924519">
        <w:rPr>
          <w:szCs w:val="22"/>
        </w:rPr>
        <w:t>27.</w:t>
      </w:r>
      <w:r>
        <w:rPr>
          <w:szCs w:val="22"/>
        </w:rPr>
        <w:t xml:space="preserve"> </w:t>
      </w:r>
      <w:r w:rsidRPr="00924519">
        <w:rPr>
          <w:szCs w:val="22"/>
        </w:rPr>
        <w:t xml:space="preserve">Kryetari merr vendimin për përjashtimin nga votimi të anëtarit të Komisionit. Kur kërkesa për përjashtimin e një anëtari të Komisionit nga votimi bëhet jo nga </w:t>
      </w:r>
      <w:r>
        <w:rPr>
          <w:szCs w:val="22"/>
        </w:rPr>
        <w:t>vetë anëtari, po</w:t>
      </w:r>
      <w:r w:rsidRPr="00924519">
        <w:rPr>
          <w:szCs w:val="22"/>
        </w:rPr>
        <w:t>r nga një palë</w:t>
      </w:r>
      <w:r>
        <w:rPr>
          <w:szCs w:val="22"/>
        </w:rPr>
        <w:t xml:space="preserve"> e interesuar, k</w:t>
      </w:r>
      <w:r w:rsidRPr="00924519">
        <w:rPr>
          <w:szCs w:val="22"/>
        </w:rPr>
        <w:t>ryetari e merr vendimin për përjashtimin ose jo, pas një hetimi të</w:t>
      </w:r>
      <w:r>
        <w:rPr>
          <w:szCs w:val="22"/>
        </w:rPr>
        <w:t xml:space="preserve"> gjith</w:t>
      </w:r>
      <w:r w:rsidRPr="00924519">
        <w:rPr>
          <w:szCs w:val="22"/>
        </w:rPr>
        <w:t>anshëm dhe pasi dë</w:t>
      </w:r>
      <w:r>
        <w:rPr>
          <w:szCs w:val="22"/>
        </w:rPr>
        <w:t>gjon edhe argumente</w:t>
      </w:r>
      <w:r w:rsidRPr="00924519">
        <w:rPr>
          <w:szCs w:val="22"/>
        </w:rPr>
        <w:t xml:space="preserve">t e anëtarit që dyshohet se ka konflikt interesash. </w:t>
      </w:r>
      <w:r>
        <w:rPr>
          <w:szCs w:val="22"/>
          <w:lang w:val="de-DE"/>
        </w:rPr>
        <w:t>Në rastet kur vetë kryetari preket ose dyshohet se preket nga një pengesë ligjore, vendimin për përjashtimin ose mospërjashtimin e tij nga votimi e merr vetë Komisioni.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28. Në çdo rast, vendimi për përjashtimin ose jo nga votimi të një anëtari apo të kryetarit të Komisionit merret brenda 5 ditë pune nga dita kur vetë anëtari deklaron pengesën ose kur pala e interesuar bën kërkesën.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29. Anëtarët e Komisionit që kanë konflikt interesash, nuk duhet të jenë të pranishëm gjatë diskutimeve dhe gjatë votimit.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30. Të gjitha vendimet e Komisionit nuk duhet të bien në kundërshtim me dispozitat e ligjit nr.9121, datë 28.7.2003 “Për mbrojtjen e konkurrencës</w:t>
      </w:r>
      <w:r>
        <w:rPr>
          <w:szCs w:val="22"/>
        </w:rPr>
        <w:t>”</w:t>
      </w:r>
      <w:r>
        <w:rPr>
          <w:szCs w:val="22"/>
          <w:lang w:val="de-DE"/>
        </w:rPr>
        <w:t>. Komisioni bashkëpunon dhe kërkon vlerësimet nga Autoriteti i Konkurrencës në çdo rast që e gjykon të nevojshme në interes të çështjes në hetim.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31. Në kreun e shkresave zyrtare shkruhet simboli: “REPUBLIKA E SHQIPËRISË</w:t>
      </w:r>
      <w:r>
        <w:rPr>
          <w:szCs w:val="22"/>
        </w:rPr>
        <w:t>”</w:t>
      </w:r>
      <w:r>
        <w:rPr>
          <w:szCs w:val="22"/>
          <w:lang w:val="de-DE"/>
        </w:rPr>
        <w:t xml:space="preserve"> dhe poshtë saj emërtimi i plotë: “KOMISIONI PËR VLERËSIMIN E MASAVE PËR IMPORTET</w:t>
      </w:r>
      <w:r>
        <w:rPr>
          <w:szCs w:val="22"/>
        </w:rPr>
        <w:t>”.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32. Vula zyrtare e Komisionit përmban shkrimin me shkronja kapitale si më poshtë: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“REPUBLIKA E SHQIPËRISË</w:t>
      </w:r>
      <w:r>
        <w:rPr>
          <w:szCs w:val="22"/>
        </w:rPr>
        <w:t>”</w:t>
      </w:r>
      <w:r>
        <w:rPr>
          <w:szCs w:val="22"/>
          <w:lang w:val="de-DE"/>
        </w:rPr>
        <w:t>.</w:t>
      </w:r>
    </w:p>
    <w:p w:rsidR="00612CDA" w:rsidRDefault="00612CDA" w:rsidP="00612CDA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“KOMISIONI PËR VLERËSIMIN E MASAVE PËR IMPORTET</w:t>
      </w:r>
      <w:r>
        <w:rPr>
          <w:szCs w:val="22"/>
        </w:rPr>
        <w:t>”</w:t>
      </w:r>
      <w:r>
        <w:rPr>
          <w:szCs w:val="22"/>
          <w:lang w:val="de-DE"/>
        </w:rPr>
        <w:t>. Vula do të ruhet pranë zyrës së protokollit në Ministrinë e Ekonomisë, Tregtisë dhe Energjetikës.</w:t>
      </w:r>
    </w:p>
    <w:p w:rsidR="00612CDA" w:rsidRPr="002F212B" w:rsidRDefault="00612CDA" w:rsidP="00612CDA">
      <w:pPr>
        <w:pStyle w:val="Paragrafi"/>
        <w:rPr>
          <w:lang w:val="de-DE"/>
        </w:rPr>
      </w:pPr>
      <w:r>
        <w:rPr>
          <w:szCs w:val="22"/>
          <w:lang w:val="de-DE"/>
        </w:rPr>
        <w:t>33. Ekspertët shpërblehen për pjesëmarrje në mbledhje, me vendim të Komisionit, bazuar në aktet ligjore e nënligjore në fuqi.</w:t>
      </w:r>
    </w:p>
    <w:sectPr w:rsidR="00612CDA" w:rsidRPr="002F21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2CDA"/>
    <w:rsid w:val="001E6A71"/>
    <w:rsid w:val="00360A84"/>
    <w:rsid w:val="00392DC4"/>
    <w:rsid w:val="004006EF"/>
    <w:rsid w:val="00455E8D"/>
    <w:rsid w:val="0055570A"/>
    <w:rsid w:val="00612CDA"/>
    <w:rsid w:val="006466BD"/>
    <w:rsid w:val="006B5F49"/>
    <w:rsid w:val="006D6C8A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6564A9-7405-4492-BF3D-64D8735C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612CD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612CD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12CDA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2CD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12C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