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082" w:rsidRDefault="006E1082" w:rsidP="006E1082">
      <w:pPr>
        <w:pStyle w:val="Akti"/>
        <w:keepNext w:val="0"/>
        <w:rPr>
          <w:lang w:eastAsia="en-GB"/>
        </w:rPr>
      </w:pPr>
      <w:bookmarkStart w:id="0" w:name="_GoBack"/>
      <w:bookmarkEnd w:id="0"/>
      <w:r>
        <w:rPr>
          <w:lang w:eastAsia="en-GB"/>
        </w:rPr>
        <w:t>Vendim</w:t>
      </w:r>
    </w:p>
    <w:p w:rsidR="006E1082" w:rsidRDefault="006E1082" w:rsidP="006E1082">
      <w:pPr>
        <w:pStyle w:val="NumriData"/>
        <w:keepNext w:val="0"/>
        <w:rPr>
          <w:lang w:eastAsia="en-GB"/>
        </w:rPr>
      </w:pPr>
      <w:r>
        <w:rPr>
          <w:lang w:eastAsia="en-GB"/>
        </w:rPr>
        <w:t>Nr.1631, datë 17.12.2008</w:t>
      </w:r>
    </w:p>
    <w:p w:rsidR="006E1082" w:rsidRDefault="006E1082" w:rsidP="006E1082">
      <w:pPr>
        <w:pStyle w:val="Paragrafi"/>
        <w:rPr>
          <w:lang w:val="en-GB" w:eastAsia="en-GB"/>
        </w:rPr>
      </w:pPr>
    </w:p>
    <w:p w:rsidR="006E1082" w:rsidRDefault="006E1082" w:rsidP="006E1082">
      <w:pPr>
        <w:pStyle w:val="Titulli"/>
        <w:keepNext w:val="0"/>
        <w:rPr>
          <w:lang w:eastAsia="en-GB"/>
        </w:rPr>
      </w:pPr>
      <w:r>
        <w:rPr>
          <w:lang w:eastAsia="en-GB"/>
        </w:rPr>
        <w:t>Për shpalljen “Park kombëtar” të ekosistemit natyror bredhi i hotovës-Dangëlli me sipërfaqe të zgjeruar</w:t>
      </w:r>
    </w:p>
    <w:p w:rsidR="006E1082" w:rsidRDefault="006E1082" w:rsidP="006E1082">
      <w:pPr>
        <w:pStyle w:val="Paragrafi"/>
        <w:rPr>
          <w:lang w:val="en-GB" w:eastAsia="en-GB"/>
        </w:rPr>
      </w:pPr>
    </w:p>
    <w:p w:rsidR="006E1082" w:rsidRDefault="006E1082" w:rsidP="006E1082">
      <w:pPr>
        <w:pStyle w:val="Paragrafi"/>
        <w:rPr>
          <w:lang w:val="en-GB" w:eastAsia="en-GB"/>
        </w:rPr>
      </w:pPr>
      <w:r>
        <w:rPr>
          <w:lang w:val="en-GB" w:eastAsia="en-GB"/>
        </w:rPr>
        <w:t>Në mbështetje të nenit 100 të Kushtetutës dhe të neneve 4, pika 1, shkronja “b”, 6 e 13, të ligjit nr.8906, datë 6.6.2002 “Për zonat e mbrojtura”, të ndryshuar,  me propozimin e Ministrit të Mjedisit, Pyjeve dhe Administrimit të Ujërave, Këshilli i Ministrave</w:t>
      </w:r>
    </w:p>
    <w:p w:rsidR="006E1082" w:rsidRDefault="006E1082" w:rsidP="006E1082">
      <w:pPr>
        <w:pStyle w:val="Paragrafi"/>
        <w:rPr>
          <w:lang w:val="en-GB" w:eastAsia="en-GB"/>
        </w:rPr>
      </w:pPr>
    </w:p>
    <w:p w:rsidR="006E1082" w:rsidRDefault="006E1082" w:rsidP="006E1082">
      <w:pPr>
        <w:pStyle w:val="VENDOSI"/>
        <w:keepNext w:val="0"/>
        <w:rPr>
          <w:lang w:eastAsia="en-GB"/>
        </w:rPr>
      </w:pPr>
      <w:r>
        <w:rPr>
          <w:lang w:eastAsia="en-GB"/>
        </w:rPr>
        <w:t>Vendosi:</w:t>
      </w:r>
    </w:p>
    <w:p w:rsidR="006E1082" w:rsidRDefault="006E1082" w:rsidP="006E1082">
      <w:pPr>
        <w:pStyle w:val="Paragrafi"/>
        <w:rPr>
          <w:lang w:val="en-GB" w:eastAsia="en-GB"/>
        </w:rPr>
      </w:pPr>
    </w:p>
    <w:p w:rsidR="006E1082" w:rsidRDefault="006E1082" w:rsidP="006E1082">
      <w:pPr>
        <w:pStyle w:val="Paragrafi"/>
        <w:rPr>
          <w:lang w:val="en-GB" w:eastAsia="en-GB"/>
        </w:rPr>
      </w:pPr>
      <w:r>
        <w:rPr>
          <w:lang w:val="en-GB" w:eastAsia="en-GB"/>
        </w:rPr>
        <w:t>1. Shpalljen “Park kombëtar” të ekosistemit natyror Bredhi i Hotovës-Dangëlli, me sipërfaqe të zgjeruar, sipas përcaktimeve në hartën, që i bashkëlidhet këtij vendimi.</w:t>
      </w:r>
    </w:p>
    <w:p w:rsidR="006E1082" w:rsidRDefault="006E1082" w:rsidP="006E1082">
      <w:pPr>
        <w:pStyle w:val="Paragrafi"/>
        <w:rPr>
          <w:lang w:val="en-GB" w:eastAsia="en-GB"/>
        </w:rPr>
      </w:pPr>
      <w:r>
        <w:rPr>
          <w:lang w:val="en-GB" w:eastAsia="en-GB"/>
        </w:rPr>
        <w:t>2. Kufijtë “Parku kombëtar”, janë si më poshtë vijon:</w:t>
      </w:r>
    </w:p>
    <w:p w:rsidR="006E1082" w:rsidRDefault="006E1082" w:rsidP="006E1082">
      <w:pPr>
        <w:pStyle w:val="Paragrafi"/>
        <w:rPr>
          <w:lang w:val="en-GB" w:eastAsia="en-GB"/>
        </w:rPr>
      </w:pPr>
      <w:r>
        <w:rPr>
          <w:lang w:val="en-GB" w:eastAsia="en-GB"/>
        </w:rPr>
        <w:t>a) Veri:</w:t>
      </w:r>
    </w:p>
    <w:p w:rsidR="006E1082" w:rsidRPr="006E1082" w:rsidRDefault="006E1082" w:rsidP="006E1082">
      <w:pPr>
        <w:pStyle w:val="Paragrafi"/>
        <w:rPr>
          <w:sz w:val="21"/>
          <w:szCs w:val="21"/>
          <w:lang w:val="en-GB" w:eastAsia="en-GB"/>
        </w:rPr>
      </w:pPr>
      <w:r w:rsidRPr="006E1082">
        <w:rPr>
          <w:sz w:val="21"/>
          <w:szCs w:val="21"/>
          <w:lang w:val="en-GB" w:eastAsia="en-GB"/>
        </w:rPr>
        <w:t>Kuota 1 291,3 m (Maja e Qarrishtës), me koordinata 4 439 461 V dhe 4 469 277 L, vijon përgjatë kurrizit dhe ndjek rrugën vendore, në krah të fshatit Sevrani i Madh, me kuotën 758 m, kalon pranë burimit Gurra e Kafshit, ndjek rrugën vendore dhe kurrizin ujëndarës, me kuotën 1 246,8 m (Maja Sheshi i Mukalisë), vijon me rrugën dhe kuotën 1 254 m, ndjek rrugën dhe zbret kurrizin në drejtim të Përroit të Kreshovës, pasi ndërpret përroin i ngjitet kurrizit, kalon në digën e rezervuarit, vijon në drejtim të kuotave 1 571 m, 1 232 m, 1 074 m, 835 m, 845 m, ndërpret Përroin e Miçanit, kuota 1 078 m, ndjek rrugën vendore dhe kuotat 1 404 m, 1 503 m, 1 588 m, 1 585 m, 1 827,6 m, 1 663,2 (Maja e Qelqit), ndjek rrugën vendore dhe kuotat 1492 m deri te Qafa e Dëllinjës (1 356 m), me koordinatat 4 455 559 V dhe 4 471 253 L.</w:t>
      </w:r>
    </w:p>
    <w:p w:rsidR="006E1082" w:rsidRDefault="006E1082" w:rsidP="006E1082">
      <w:pPr>
        <w:pStyle w:val="Paragrafi"/>
        <w:rPr>
          <w:lang w:val="en-GB" w:eastAsia="en-GB"/>
        </w:rPr>
      </w:pPr>
      <w:r>
        <w:rPr>
          <w:lang w:val="en-GB" w:eastAsia="en-GB"/>
        </w:rPr>
        <w:t>b) Lindje:</w:t>
      </w:r>
    </w:p>
    <w:p w:rsidR="006E1082" w:rsidRDefault="006E1082" w:rsidP="006E1082">
      <w:pPr>
        <w:pStyle w:val="Paragrafi"/>
        <w:rPr>
          <w:lang w:val="en-GB" w:eastAsia="en-GB"/>
        </w:rPr>
      </w:pPr>
      <w:r>
        <w:rPr>
          <w:lang w:val="en-GB" w:eastAsia="en-GB"/>
        </w:rPr>
        <w:t>Kuota 1 356 m (Qafa e Dëllinjës), me koordinatat 4 455 559 V dhe 4 471 253 L, ndjek rrugën vendore dhe kuotat 1 396 m, 1 345,5 m, 1 343 m, 1 431 m, zbret kurrizin në drejtim të kuotës 1 286 m (Maja e Golemasit), ndjek kurrizin Faqja e Gremës, kuotat 1 003 m, 913 m, në pikën e takimit të përroit të Selenicës me përroin e Zavalanit, kuotat 1 061 m, 882 m (maja e Prasqopit), kuota 778 m, kalon te pika e takimit të përroit të Zavalanit me përroin Guri Pelpel, kuota 881 m, ndjek rrugën vendore deri te pika e takimit të përroit Burimi i Krimbur me Përroin e Virit, më pas vijon përgjatë lumit të Anit, kuota 575 m, me lumin e Gostivishtit, me kuotat 479 m, 433 m deri te pika e takimit të lumit të Gostivishtit me lumin e Lengaricës, vijon përgjatë lumit të Lengaricës, në drejtim të kundërt të rrjedhjes, deri te pika e takimit me përroin e Gradisht</w:t>
      </w:r>
      <w:r>
        <w:rPr>
          <w:rFonts w:ascii="Times New Roman" w:hAnsi="Times New Roman"/>
          <w:lang w:eastAsia="ja-JP"/>
        </w:rPr>
        <w:t>ë</w:t>
      </w:r>
      <w:r>
        <w:rPr>
          <w:lang w:val="en-GB" w:eastAsia="en-GB"/>
        </w:rPr>
        <w:t>s, ngjitet kurrizit, kuota 1 110 m, ndjek rrugën vendore, kuota 1 106 m, vijon përgjatë kurrizit Faqja e Lajthizës, në kuotat 1 357 m, 1 382 m, 1 321,5 m, 1 336 m, 1 441 m, 1 477 m, 1 553,4 m (Maja e Postenanit), 1 507 m, 1 523 m, 1 481,9 m, Qafa e Postenanit, 1 488 m, 1 472,7 m, 1 371 m, zbret kurrizin Gryka e Pagmentit deri te pika e takimit të lumit të Çarshovës me përroin e Postenanit, me koordinata 4 463 360 V dhe 4 447 984 L.</w:t>
      </w:r>
    </w:p>
    <w:p w:rsidR="006E1082" w:rsidRDefault="006E1082" w:rsidP="006E1082">
      <w:pPr>
        <w:pStyle w:val="Paragrafi"/>
        <w:rPr>
          <w:lang w:val="en-GB" w:eastAsia="en-GB"/>
        </w:rPr>
      </w:pPr>
      <w:r>
        <w:rPr>
          <w:lang w:val="en-GB" w:eastAsia="en-GB"/>
        </w:rPr>
        <w:t>c) Jug:</w:t>
      </w:r>
    </w:p>
    <w:p w:rsidR="006E1082" w:rsidRDefault="006E1082" w:rsidP="006E1082">
      <w:pPr>
        <w:pStyle w:val="Paragrafi"/>
        <w:rPr>
          <w:lang w:val="en-GB" w:eastAsia="en-GB"/>
        </w:rPr>
      </w:pPr>
      <w:r>
        <w:rPr>
          <w:lang w:val="en-GB" w:eastAsia="en-GB"/>
        </w:rPr>
        <w:t>Pika e ndërprerjes së lumit të Çarshovës me përroin e Postenanit, me koordinata 4 463 360 V dhe 4 447 984 L, ndjek rrjedhjen e lumit të Çarshovës në drejtim të lumit Vjosë deri te ura e Çarshovës, me koordinata 4 460 893 V dhe 4 442 781 L.</w:t>
      </w:r>
    </w:p>
    <w:p w:rsidR="006E1082" w:rsidRDefault="006E1082" w:rsidP="006E1082">
      <w:pPr>
        <w:pStyle w:val="Paragrafi"/>
        <w:rPr>
          <w:lang w:val="en-GB" w:eastAsia="en-GB"/>
        </w:rPr>
      </w:pPr>
      <w:r>
        <w:rPr>
          <w:lang w:val="en-GB" w:eastAsia="en-GB"/>
        </w:rPr>
        <w:t>ç) Perëndim:</w:t>
      </w:r>
    </w:p>
    <w:p w:rsidR="006E1082" w:rsidRDefault="006E1082" w:rsidP="006E1082">
      <w:pPr>
        <w:pStyle w:val="Paragrafi"/>
        <w:rPr>
          <w:lang w:val="en-GB" w:eastAsia="en-GB"/>
        </w:rPr>
      </w:pPr>
      <w:r>
        <w:rPr>
          <w:lang w:val="en-GB" w:eastAsia="en-GB"/>
        </w:rPr>
        <w:t xml:space="preserve">Ura e Çarshovës, me koordinata 4 460 893 V dhe 4 442 781 L, ndjek krahun e djathtë të rrugës automobilistike Çarshovë-Përmet, deri te kryqëzimi i rrugës për në fshatin Benjë, kuota 292 m, më pas ngjitet kurrizit të pyllit të Pomecit, kuota 451,1 m (Maja e Malit të Bardhë), ndjek rrugën vendore dhe kuotat 471 m, 558 m, përsëri me rrugën vendore dhe kurrizin Bregu i Madh, Maja e Qytezës, kurrizin mbi fshatin Qilarisht e Vogël, kuotat 636 m, 771 m, 1 028 m, 1 128 m (Hija e Plepit), zbret kurrizin dhe kalon në Qafën e Ajdinit, ndjek rrugën vendore dhe kuotat </w:t>
      </w:r>
      <w:r>
        <w:rPr>
          <w:lang w:val="en-GB" w:eastAsia="en-GB"/>
        </w:rPr>
        <w:lastRenderedPageBreak/>
        <w:t>928,7 m, 928 m (Guri i Thanëve), zbret kurrizin dhe ndjek rrugën për këmbësorë, kuotat 404.0 m, 451.0 m (Maja e Sukës), ndërpret përroin e Muzhdinës, vijon në krahun e majtë të rrjedhës së kanalit ujitës, kuota 276.0 m (Maja Guri i Kosinës), ngjitet kurrizit në krah të fshatit Kosinjë, kuota 296.0 m, 342.0 m, ndjek rrugën për këmbësorë mbi Kosinë, ura e përroit të Hotovës, kuota 231 m, ndërpret lumin e Lumnicës dhe përroin e Kalenjave, ngjitet kurrizit në kuotat 292 m e 332 m, ndjek rrugën vendore për në fshatin Pacomit (Kalenjë), vijon me rrugën në drejtim të kuotës 988,7 m (Maja e Kokoresit), përsëri me rrugën dhe kuotat 1 025,6 m (Maja e Seniçanit), 1 035 m, 1 038 m, 1 264 m, kalon në kufi të pyllit të Hijes së Sharrës dhe kuota 1 291, 3 m (Maja e Qarrishtës), me koordinata 4 439 461 V dhe 4 469 277 L.</w:t>
      </w:r>
    </w:p>
    <w:p w:rsidR="006E1082" w:rsidRDefault="006E1082" w:rsidP="006E1082">
      <w:pPr>
        <w:pStyle w:val="Paragrafi"/>
        <w:rPr>
          <w:lang w:val="en-GB" w:eastAsia="en-GB"/>
        </w:rPr>
      </w:pPr>
      <w:r>
        <w:rPr>
          <w:lang w:val="en-GB" w:eastAsia="en-GB"/>
        </w:rPr>
        <w:t>3. “Parku Kombëtar” Bredhi i Hotovës-Dangëlli ka një sipërfaqe të përgjithshme 34 361.05 (tridhjetë e katër mijë e treqind e gjashtëdhjetë e një presje zero pesë) ha, ku pjesën kryesore të territorit e zënë sipërfaqet pyjore, të ndjekura nga sipërfaqet kullosore, bujqësore, joprodhuese, shkëmbore dhe sipërfaqe troje, sipas tabelës, që i bashkëlidhet këtij vendimi.</w:t>
      </w:r>
    </w:p>
    <w:p w:rsidR="006E1082" w:rsidRDefault="006E1082" w:rsidP="006E1082">
      <w:pPr>
        <w:pStyle w:val="Paragrafi"/>
        <w:rPr>
          <w:lang w:val="en-GB" w:eastAsia="en-GB"/>
        </w:rPr>
      </w:pPr>
      <w:r>
        <w:rPr>
          <w:lang w:val="en-GB" w:eastAsia="en-GB"/>
        </w:rPr>
        <w:t>4. “Parku kombëtar” Bredhi i Hotovës-Dangëlli ndahet në katër nënzona ruajtjeje e administrimi, si më poshtë vijon:</w:t>
      </w:r>
    </w:p>
    <w:p w:rsidR="006E1082" w:rsidRDefault="006E1082" w:rsidP="006E1082">
      <w:pPr>
        <w:pStyle w:val="Paragrafi"/>
        <w:rPr>
          <w:lang w:val="en-GB" w:eastAsia="en-GB"/>
        </w:rPr>
      </w:pPr>
      <w:r>
        <w:rPr>
          <w:lang w:val="en-GB" w:eastAsia="en-GB"/>
        </w:rPr>
        <w:t>a) Zona qendror, me sipërfaqe 2 888.69 ha (e shënuar në hartë me “ZQ”), përfshin habitatet kryesore natyrore të Bredhit të Hotovës. Ajo përcaktohet si zonë me vlera të larta, për natyrën dhe biodiversitetin dhe në të zbatohet shkalla e parë e mbrojtjes, që siguron një territor të pashqetësuar.</w:t>
      </w:r>
    </w:p>
    <w:p w:rsidR="006E1082" w:rsidRDefault="006E1082" w:rsidP="006E1082">
      <w:pPr>
        <w:pStyle w:val="Paragrafi"/>
        <w:rPr>
          <w:lang w:val="en-GB" w:eastAsia="en-GB"/>
        </w:rPr>
      </w:pPr>
      <w:r>
        <w:rPr>
          <w:lang w:val="en-GB" w:eastAsia="en-GB"/>
        </w:rPr>
        <w:t>b) Zona e përdorimit të qëndrueshëm, me sipërfaqe 18 922.50 ha (e shënuar në hartë me “ZPQ”). Në këtë zonë përfshihen habitate, pyjore e kullosore, pothuajse përreth zonës qendrore, për të cilën ajo shërben si zonë buferike. Në këtë zonë lejohen veprimtaritë ekonomike sezonale (si kullotja, grumbullimi i bimëve mjekësore, prodhimeve të dytë të pyllit), të cilat nuk cenojnë integritetin ekologjik të ekosistemit dhe ushtrohen vetëm me leje mjedisi. Në zonën e përdorimit të qëndrueshëm zbatohet shkalla e dytë e mbrojtjes.</w:t>
      </w:r>
    </w:p>
    <w:p w:rsidR="006E1082" w:rsidRDefault="006E1082" w:rsidP="006E1082">
      <w:pPr>
        <w:pStyle w:val="Paragrafi"/>
        <w:rPr>
          <w:lang w:val="en-GB" w:eastAsia="en-GB"/>
        </w:rPr>
      </w:pPr>
      <w:r>
        <w:rPr>
          <w:lang w:val="en-GB" w:eastAsia="en-GB"/>
        </w:rPr>
        <w:t>c) Zona rekreative, me sipërfaqe 80.28 ha (e shënuar në hartë me “ZR”), përbën zonën me mundësi rekreative, në natyrë të hapur, në përputhje me funksionet e zonës së mbrojtur, vlerat ekologjike, të peizazhit dhe vlerat turistike e kulturore. Në këtë zonë përfshihen pjesët pyjore, livadhet dhe toka bujqësore në masivin pyjor të Bredhit të Hotovës dhe banjat termale. Në zonën rekreative zbatohet shkalla e tretë e mbrojtjes.</w:t>
      </w:r>
    </w:p>
    <w:p w:rsidR="006E1082" w:rsidRDefault="006E1082" w:rsidP="006E1082">
      <w:pPr>
        <w:pStyle w:val="Paragrafi"/>
        <w:rPr>
          <w:lang w:val="en-GB" w:eastAsia="en-GB"/>
        </w:rPr>
      </w:pPr>
      <w:r>
        <w:rPr>
          <w:rFonts w:ascii="Times New Roman" w:hAnsi="Times New Roman"/>
          <w:lang w:eastAsia="ja-JP"/>
        </w:rPr>
        <w:t>ç</w:t>
      </w:r>
      <w:r>
        <w:rPr>
          <w:lang w:val="en-GB" w:eastAsia="en-GB"/>
        </w:rPr>
        <w:t>) Zona e përdorimit tradicional, me sipërfaqe 12 469.58 ha (e shënuar në hartë me “ZPT”), mundëson vazhdimin e veprimtarive tradicionale dhe ekonomike, dhe në këtë zonë mund të ushtrohen veprimtari të reja, vetëm pasi të pajisen me leje mjedisi, dhe, për rastet e trashëgimisë kulturore, me leje nga Ministria e Turizmit, Kulturës, Rinisë dhe Sporteve dhe shërbimi arkeologjik. Në këtë zonë përfshihen territoret bujqësore, ujore e disa toka, me bimësi pyjore, ato rreth qendrave të banuara, kryesisht të përdorura nga banorët. Në zonën e përdorimit tradicional zbatohet shkalla e katërt e mbrojtjes.</w:t>
      </w:r>
    </w:p>
    <w:p w:rsidR="006E1082" w:rsidRDefault="006E1082" w:rsidP="006E1082">
      <w:pPr>
        <w:pStyle w:val="Paragrafi"/>
        <w:rPr>
          <w:lang w:val="en-GB" w:eastAsia="en-GB"/>
        </w:rPr>
      </w:pPr>
      <w:r>
        <w:rPr>
          <w:lang w:val="en-GB" w:eastAsia="en-GB"/>
        </w:rPr>
        <w:t>5. Ministria e Mjedisit, Pyjeve dhe Administrimit të Ujërave dhe ministritë e tjera të linjës, në bashkëpunim me njësitë e qeverisjes vendore, me institucionet kërkimore-shkencore, me përfaqësuesit e biznesit dhe të pronarëve privatë, brenda 1 viti nga hyrja në fuqi e këtij vendimi, të hartojnë planin e menaxhimit të “Parkut kombëtar”.</w:t>
      </w:r>
    </w:p>
    <w:p w:rsidR="006E1082" w:rsidRDefault="006E1082" w:rsidP="006E1082">
      <w:pPr>
        <w:pStyle w:val="Paragrafi"/>
        <w:rPr>
          <w:lang w:val="en-GB" w:eastAsia="en-GB"/>
        </w:rPr>
      </w:pPr>
      <w:r>
        <w:rPr>
          <w:lang w:val="en-GB" w:eastAsia="en-GB"/>
        </w:rPr>
        <w:t>6. Administrata ekzistuese e zonës së mbrojtur dhe e sektorit pyjor të qendrës (DSHP Përmet) kryejnë funksionet e administratës së “Parkut kombëtar” Bredhi i Hotovës-Dangëlli.</w:t>
      </w:r>
    </w:p>
    <w:p w:rsidR="006E1082" w:rsidRDefault="006E1082" w:rsidP="006E1082">
      <w:pPr>
        <w:pStyle w:val="Paragrafi"/>
        <w:rPr>
          <w:lang w:val="en-GB" w:eastAsia="en-GB"/>
        </w:rPr>
      </w:pPr>
      <w:r>
        <w:rPr>
          <w:lang w:val="en-GB" w:eastAsia="en-GB"/>
        </w:rPr>
        <w:t>7. Ngarkohen Ministria e Mjedisit, Pyjeve dhe Administrimit të Ujërave dhe organet përkatëse të qeverisjes vendore për zbatimin e këtij vendimi.</w:t>
      </w:r>
    </w:p>
    <w:p w:rsidR="006E1082" w:rsidRDefault="006E1082" w:rsidP="006E1082">
      <w:pPr>
        <w:pStyle w:val="Paragrafi"/>
        <w:rPr>
          <w:lang w:val="en-GB" w:eastAsia="en-GB"/>
        </w:rPr>
      </w:pPr>
      <w:r>
        <w:rPr>
          <w:lang w:val="en-GB" w:eastAsia="en-GB"/>
        </w:rPr>
        <w:t>Ky vendim hyn në fuqi pas botimit në Fletoren Zyrtare.</w:t>
      </w:r>
    </w:p>
    <w:p w:rsidR="006E1082" w:rsidRDefault="006E1082" w:rsidP="006E1082">
      <w:pPr>
        <w:pStyle w:val="Paragrafi"/>
        <w:rPr>
          <w:lang w:val="en-GB" w:eastAsia="en-GB"/>
        </w:rPr>
      </w:pPr>
    </w:p>
    <w:p w:rsidR="006E1082" w:rsidRDefault="006E1082" w:rsidP="006E1082">
      <w:pPr>
        <w:pStyle w:val="Autoriteti"/>
        <w:keepNext w:val="0"/>
        <w:rPr>
          <w:lang w:eastAsia="en-GB"/>
        </w:rPr>
      </w:pPr>
      <w:r>
        <w:rPr>
          <w:lang w:eastAsia="en-GB"/>
        </w:rPr>
        <w:t>Kryeministri</w:t>
      </w:r>
    </w:p>
    <w:p w:rsidR="006E1082" w:rsidRDefault="006E1082" w:rsidP="006E1082">
      <w:pPr>
        <w:pStyle w:val="AutoritetiEmer"/>
        <w:rPr>
          <w:lang w:eastAsia="en-GB"/>
        </w:rPr>
      </w:pPr>
      <w:r>
        <w:rPr>
          <w:lang w:eastAsia="en-GB"/>
        </w:rPr>
        <w:t>Sali Berisha</w:t>
      </w:r>
    </w:p>
    <w:p w:rsidR="006E1082" w:rsidRDefault="006E1082" w:rsidP="006E1082">
      <w:pPr>
        <w:pStyle w:val="Paragrafi"/>
        <w:rPr>
          <w:lang w:val="en-GB" w:eastAsia="en-GB"/>
        </w:rPr>
      </w:pPr>
    </w:p>
    <w:p w:rsidR="006E1082" w:rsidRDefault="006E1082" w:rsidP="006E1082">
      <w:pPr>
        <w:pStyle w:val="Paragrafi"/>
        <w:rPr>
          <w:lang w:val="en-GB" w:eastAsia="en-GB"/>
        </w:rPr>
      </w:pPr>
      <w:r>
        <w:rPr>
          <w:lang w:val="en-GB" w:eastAsia="en-GB"/>
        </w:rPr>
        <w:t>Sasia e sipërfaqeve, sipas përbërjes</w:t>
      </w:r>
      <w:r>
        <w:rPr>
          <w:lang w:val="en-GB" w:eastAsia="en-GB"/>
        </w:rPr>
        <w:tab/>
      </w:r>
      <w:r>
        <w:rPr>
          <w:lang w:val="en-GB" w:eastAsia="en-GB"/>
        </w:rPr>
        <w:tab/>
      </w:r>
      <w:r>
        <w:rPr>
          <w:lang w:val="en-GB" w:eastAsia="en-GB"/>
        </w:rPr>
        <w:tab/>
      </w:r>
      <w:r>
        <w:rPr>
          <w:lang w:val="en-GB" w:eastAsia="en-GB"/>
        </w:rPr>
        <w:tab/>
      </w:r>
      <w:r>
        <w:rPr>
          <w:lang w:val="en-GB" w:eastAsia="en-GB"/>
        </w:rPr>
        <w:tab/>
        <w:t>Tabela</w:t>
      </w:r>
    </w:p>
    <w:p w:rsidR="006E1082" w:rsidRDefault="006E1082" w:rsidP="006E1082">
      <w:pPr>
        <w:pStyle w:val="Paragrafi"/>
        <w:rPr>
          <w:lang w:val="en-GB" w:eastAsia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5"/>
        <w:gridCol w:w="5350"/>
        <w:gridCol w:w="2961"/>
      </w:tblGrid>
      <w:tr w:rsidR="006E1082" w:rsidRPr="00913DC9">
        <w:trPr>
          <w:jc w:val="center"/>
        </w:trPr>
        <w:tc>
          <w:tcPr>
            <w:tcW w:w="533" w:type="dxa"/>
          </w:tcPr>
          <w:p w:rsidR="006E1082" w:rsidRPr="00913DC9" w:rsidRDefault="006E1082" w:rsidP="006E1082">
            <w:pPr>
              <w:pStyle w:val="Tabele"/>
              <w:jc w:val="center"/>
              <w:rPr>
                <w:b/>
                <w:lang w:eastAsia="en-GB"/>
              </w:rPr>
            </w:pPr>
            <w:r w:rsidRPr="00913DC9">
              <w:rPr>
                <w:b/>
                <w:lang w:eastAsia="en-GB"/>
              </w:rPr>
              <w:t>Nr.</w:t>
            </w:r>
          </w:p>
        </w:tc>
        <w:tc>
          <w:tcPr>
            <w:tcW w:w="5658" w:type="dxa"/>
          </w:tcPr>
          <w:p w:rsidR="006E1082" w:rsidRPr="00913DC9" w:rsidRDefault="006E1082" w:rsidP="006E1082">
            <w:pPr>
              <w:pStyle w:val="Tabele"/>
              <w:jc w:val="center"/>
              <w:rPr>
                <w:b/>
                <w:lang w:eastAsia="en-GB"/>
              </w:rPr>
            </w:pPr>
            <w:r w:rsidRPr="00913DC9">
              <w:rPr>
                <w:b/>
                <w:lang w:eastAsia="en-GB"/>
              </w:rPr>
              <w:t>Përdorimi i territorit</w:t>
            </w:r>
          </w:p>
        </w:tc>
        <w:tc>
          <w:tcPr>
            <w:tcW w:w="3096" w:type="dxa"/>
          </w:tcPr>
          <w:p w:rsidR="006E1082" w:rsidRPr="00913DC9" w:rsidRDefault="006E1082" w:rsidP="006E1082">
            <w:pPr>
              <w:pStyle w:val="Tabele"/>
              <w:jc w:val="center"/>
              <w:rPr>
                <w:b/>
                <w:lang w:eastAsia="en-GB"/>
              </w:rPr>
            </w:pPr>
            <w:r w:rsidRPr="00913DC9">
              <w:rPr>
                <w:b/>
                <w:lang w:eastAsia="en-GB"/>
              </w:rPr>
              <w:t>Sipërfaqja në ha</w:t>
            </w:r>
          </w:p>
        </w:tc>
      </w:tr>
      <w:tr w:rsidR="006E1082">
        <w:trPr>
          <w:jc w:val="center"/>
        </w:trPr>
        <w:tc>
          <w:tcPr>
            <w:tcW w:w="533" w:type="dxa"/>
          </w:tcPr>
          <w:p w:rsidR="006E1082" w:rsidRDefault="006E1082" w:rsidP="006E1082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1.</w:t>
            </w:r>
          </w:p>
        </w:tc>
        <w:tc>
          <w:tcPr>
            <w:tcW w:w="5658" w:type="dxa"/>
          </w:tcPr>
          <w:p w:rsidR="006E1082" w:rsidRDefault="006E1082" w:rsidP="006E1082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Sipërfaqe pyjore, pyje të përzier (bredh, ah, pishë, dushk), shkurre, ripyllëzime, tokë me bimësi pyjore</w:t>
            </w:r>
          </w:p>
        </w:tc>
        <w:tc>
          <w:tcPr>
            <w:tcW w:w="3096" w:type="dxa"/>
          </w:tcPr>
          <w:p w:rsidR="006E1082" w:rsidRDefault="006E1082" w:rsidP="006E1082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24 612.02</w:t>
            </w:r>
          </w:p>
        </w:tc>
      </w:tr>
      <w:tr w:rsidR="006E1082">
        <w:trPr>
          <w:jc w:val="center"/>
        </w:trPr>
        <w:tc>
          <w:tcPr>
            <w:tcW w:w="533" w:type="dxa"/>
          </w:tcPr>
          <w:p w:rsidR="006E1082" w:rsidRDefault="006E1082" w:rsidP="006E1082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2.</w:t>
            </w:r>
          </w:p>
        </w:tc>
        <w:tc>
          <w:tcPr>
            <w:tcW w:w="5658" w:type="dxa"/>
          </w:tcPr>
          <w:p w:rsidR="006E1082" w:rsidRDefault="006E1082" w:rsidP="006E1082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Sipërfaqe kullosore e livadhe</w:t>
            </w:r>
          </w:p>
        </w:tc>
        <w:tc>
          <w:tcPr>
            <w:tcW w:w="3096" w:type="dxa"/>
          </w:tcPr>
          <w:p w:rsidR="006E1082" w:rsidRDefault="006E1082" w:rsidP="006E1082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714.14</w:t>
            </w:r>
          </w:p>
        </w:tc>
      </w:tr>
      <w:tr w:rsidR="006E1082">
        <w:trPr>
          <w:jc w:val="center"/>
        </w:trPr>
        <w:tc>
          <w:tcPr>
            <w:tcW w:w="533" w:type="dxa"/>
          </w:tcPr>
          <w:p w:rsidR="006E1082" w:rsidRDefault="006E1082" w:rsidP="006E1082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3.</w:t>
            </w:r>
          </w:p>
        </w:tc>
        <w:tc>
          <w:tcPr>
            <w:tcW w:w="5658" w:type="dxa"/>
          </w:tcPr>
          <w:p w:rsidR="006E1082" w:rsidRDefault="006E1082" w:rsidP="006E1082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Sipërfaqe bujqësore (arë, pemëtore, vreshta)</w:t>
            </w:r>
          </w:p>
        </w:tc>
        <w:tc>
          <w:tcPr>
            <w:tcW w:w="3096" w:type="dxa"/>
          </w:tcPr>
          <w:p w:rsidR="006E1082" w:rsidRDefault="006E1082" w:rsidP="006E1082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5 292.83</w:t>
            </w:r>
          </w:p>
        </w:tc>
      </w:tr>
      <w:tr w:rsidR="006E1082">
        <w:trPr>
          <w:jc w:val="center"/>
        </w:trPr>
        <w:tc>
          <w:tcPr>
            <w:tcW w:w="533" w:type="dxa"/>
          </w:tcPr>
          <w:p w:rsidR="006E1082" w:rsidRDefault="006E1082" w:rsidP="006E1082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4.</w:t>
            </w:r>
          </w:p>
        </w:tc>
        <w:tc>
          <w:tcPr>
            <w:tcW w:w="5658" w:type="dxa"/>
          </w:tcPr>
          <w:p w:rsidR="006E1082" w:rsidRDefault="006E1082" w:rsidP="006E1082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Sipërfaqe ujore (lumenj, përrenj, rezervuarë)</w:t>
            </w:r>
          </w:p>
        </w:tc>
        <w:tc>
          <w:tcPr>
            <w:tcW w:w="3096" w:type="dxa"/>
          </w:tcPr>
          <w:p w:rsidR="006E1082" w:rsidRDefault="006E1082" w:rsidP="006E1082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25.48</w:t>
            </w:r>
          </w:p>
        </w:tc>
      </w:tr>
      <w:tr w:rsidR="006E1082">
        <w:trPr>
          <w:jc w:val="center"/>
        </w:trPr>
        <w:tc>
          <w:tcPr>
            <w:tcW w:w="533" w:type="dxa"/>
          </w:tcPr>
          <w:p w:rsidR="006E1082" w:rsidRDefault="006E1082" w:rsidP="006E1082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5.</w:t>
            </w:r>
          </w:p>
        </w:tc>
        <w:tc>
          <w:tcPr>
            <w:tcW w:w="5658" w:type="dxa"/>
          </w:tcPr>
          <w:p w:rsidR="006E1082" w:rsidRDefault="006E1082" w:rsidP="006E1082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Sipërfaqe joprodhuese (shkëmbore, e zhveshur)</w:t>
            </w:r>
          </w:p>
        </w:tc>
        <w:tc>
          <w:tcPr>
            <w:tcW w:w="3096" w:type="dxa"/>
          </w:tcPr>
          <w:p w:rsidR="006E1082" w:rsidRDefault="006E1082" w:rsidP="006E1082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3 307.84</w:t>
            </w:r>
          </w:p>
        </w:tc>
      </w:tr>
      <w:tr w:rsidR="006E1082">
        <w:trPr>
          <w:jc w:val="center"/>
        </w:trPr>
        <w:tc>
          <w:tcPr>
            <w:tcW w:w="533" w:type="dxa"/>
          </w:tcPr>
          <w:p w:rsidR="006E1082" w:rsidRDefault="006E1082" w:rsidP="006E1082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6.</w:t>
            </w:r>
          </w:p>
        </w:tc>
        <w:tc>
          <w:tcPr>
            <w:tcW w:w="5658" w:type="dxa"/>
          </w:tcPr>
          <w:p w:rsidR="006E1082" w:rsidRDefault="006E1082" w:rsidP="006E1082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Sipërfaqe urbane dhe troje të përziera me tokë bujqësore dhe pyjore</w:t>
            </w:r>
          </w:p>
        </w:tc>
        <w:tc>
          <w:tcPr>
            <w:tcW w:w="3096" w:type="dxa"/>
          </w:tcPr>
          <w:p w:rsidR="006E1082" w:rsidRDefault="006E1082" w:rsidP="006E1082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408.74</w:t>
            </w:r>
          </w:p>
        </w:tc>
      </w:tr>
      <w:tr w:rsidR="006E1082">
        <w:trPr>
          <w:jc w:val="center"/>
        </w:trPr>
        <w:tc>
          <w:tcPr>
            <w:tcW w:w="533" w:type="dxa"/>
          </w:tcPr>
          <w:p w:rsidR="006E1082" w:rsidRDefault="006E1082" w:rsidP="006E1082">
            <w:pPr>
              <w:pStyle w:val="Tabele"/>
              <w:rPr>
                <w:lang w:eastAsia="en-GB"/>
              </w:rPr>
            </w:pPr>
          </w:p>
        </w:tc>
        <w:tc>
          <w:tcPr>
            <w:tcW w:w="5658" w:type="dxa"/>
          </w:tcPr>
          <w:p w:rsidR="006E1082" w:rsidRDefault="006E1082" w:rsidP="006E1082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Sipërfaqe e përgjithshme</w:t>
            </w:r>
          </w:p>
        </w:tc>
        <w:tc>
          <w:tcPr>
            <w:tcW w:w="3096" w:type="dxa"/>
          </w:tcPr>
          <w:p w:rsidR="006E1082" w:rsidRDefault="006E1082" w:rsidP="006E1082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34 361.05</w:t>
            </w:r>
          </w:p>
        </w:tc>
      </w:tr>
    </w:tbl>
    <w:p w:rsidR="006E1082" w:rsidRDefault="006E1082" w:rsidP="006E1082">
      <w:pPr>
        <w:pStyle w:val="Paragrafi"/>
        <w:rPr>
          <w:lang w:val="en-GB" w:eastAsia="en-GB"/>
        </w:rPr>
      </w:pPr>
    </w:p>
    <w:p w:rsidR="006E1082" w:rsidRDefault="006E1082" w:rsidP="006E1082">
      <w:pPr>
        <w:pStyle w:val="Paragrafi"/>
        <w:rPr>
          <w:lang w:val="en-GB" w:eastAsia="en-GB"/>
        </w:rPr>
      </w:pPr>
    </w:p>
    <w:p w:rsidR="006E1082" w:rsidRDefault="006E1082" w:rsidP="006E1082">
      <w:pPr>
        <w:pStyle w:val="Paragrafi"/>
        <w:rPr>
          <w:lang w:val="en-GB" w:eastAsia="en-GB"/>
        </w:rPr>
      </w:pPr>
    </w:p>
    <w:p w:rsidR="006E1082" w:rsidRDefault="006E1082" w:rsidP="006E1082">
      <w:pPr>
        <w:pStyle w:val="Paragrafi"/>
        <w:rPr>
          <w:lang w:val="en-GB" w:eastAsia="en-GB"/>
        </w:rPr>
      </w:pPr>
    </w:p>
    <w:p w:rsidR="006E1082" w:rsidRDefault="006E1082" w:rsidP="006E1082">
      <w:pPr>
        <w:pStyle w:val="Paragrafi"/>
        <w:rPr>
          <w:lang w:val="en-GB" w:eastAsia="en-GB"/>
        </w:rPr>
      </w:pPr>
    </w:p>
    <w:p w:rsidR="006E1082" w:rsidRDefault="006E1082" w:rsidP="006E1082">
      <w:pPr>
        <w:pStyle w:val="Paragrafi"/>
        <w:rPr>
          <w:lang w:val="en-GB" w:eastAsia="en-GB"/>
        </w:rPr>
      </w:pPr>
    </w:p>
    <w:p w:rsidR="006E1082" w:rsidRDefault="006E1082" w:rsidP="006E1082">
      <w:pPr>
        <w:pStyle w:val="Paragrafi"/>
        <w:rPr>
          <w:lang w:val="en-GB" w:eastAsia="en-GB"/>
        </w:rPr>
      </w:pPr>
    </w:p>
    <w:p w:rsidR="006E1082" w:rsidRDefault="006E1082" w:rsidP="006E1082">
      <w:pPr>
        <w:pStyle w:val="Paragrafi"/>
        <w:rPr>
          <w:lang w:val="en-GB" w:eastAsia="en-GB"/>
        </w:rPr>
      </w:pPr>
    </w:p>
    <w:p w:rsidR="006E1082" w:rsidRDefault="006E1082" w:rsidP="006E1082">
      <w:pPr>
        <w:pStyle w:val="Paragrafi"/>
        <w:rPr>
          <w:lang w:val="en-GB" w:eastAsia="en-GB"/>
        </w:rPr>
      </w:pPr>
    </w:p>
    <w:p w:rsidR="006E1082" w:rsidRDefault="006E1082" w:rsidP="006E1082">
      <w:pPr>
        <w:pStyle w:val="Paragrafi"/>
        <w:rPr>
          <w:lang w:val="en-GB" w:eastAsia="en-GB"/>
        </w:rPr>
      </w:pPr>
    </w:p>
    <w:p w:rsidR="006E1082" w:rsidRDefault="006E1082" w:rsidP="006E1082">
      <w:pPr>
        <w:pStyle w:val="Paragrafi"/>
        <w:rPr>
          <w:lang w:val="en-GB" w:eastAsia="en-GB"/>
        </w:rPr>
      </w:pPr>
    </w:p>
    <w:p w:rsidR="006E1082" w:rsidRDefault="006E1082" w:rsidP="006E1082">
      <w:pPr>
        <w:pStyle w:val="Paragrafi"/>
        <w:rPr>
          <w:lang w:val="en-GB" w:eastAsia="en-GB"/>
        </w:rPr>
      </w:pPr>
    </w:p>
    <w:p w:rsidR="006E1082" w:rsidRDefault="007F0A93" w:rsidP="006E1082">
      <w:pPr>
        <w:pStyle w:val="Tabele"/>
      </w:pPr>
      <w:r w:rsidRPr="00646CB2">
        <w:rPr>
          <w:noProof/>
          <w:lang w:eastAsia="en-GB"/>
        </w:rPr>
        <w:drawing>
          <wp:inline distT="0" distB="0" distL="0" distR="0">
            <wp:extent cx="5857875" cy="8229600"/>
            <wp:effectExtent l="19050" t="19050" r="28575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822960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sectPr w:rsidR="006E108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E1082"/>
    <w:rsid w:val="00044BB5"/>
    <w:rsid w:val="00360A84"/>
    <w:rsid w:val="004006EF"/>
    <w:rsid w:val="00455E8D"/>
    <w:rsid w:val="006466BD"/>
    <w:rsid w:val="006B5F49"/>
    <w:rsid w:val="006E1082"/>
    <w:rsid w:val="006F121D"/>
    <w:rsid w:val="006F7EC5"/>
    <w:rsid w:val="00717DDC"/>
    <w:rsid w:val="007644E4"/>
    <w:rsid w:val="007D0BAC"/>
    <w:rsid w:val="007F0A93"/>
    <w:rsid w:val="0083289D"/>
    <w:rsid w:val="008674D9"/>
    <w:rsid w:val="008D4BC1"/>
    <w:rsid w:val="00A250BB"/>
    <w:rsid w:val="00AB3581"/>
    <w:rsid w:val="00B1701F"/>
    <w:rsid w:val="00C62A82"/>
    <w:rsid w:val="00C75A34"/>
    <w:rsid w:val="00CD1B0F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70576B-81DC-410C-A392-43D1240F1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1082"/>
    <w:rPr>
      <w:rFonts w:eastAsia="MS Mincho"/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6E108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6E1082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AutoritetiEmer"/>
    <w:rsid w:val="006E108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E108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Paragrafi">
    <w:name w:val="Paragrafi"/>
    <w:rsid w:val="006E108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6E108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6E1082"/>
    <w:rPr>
      <w:rFonts w:ascii="CG Times" w:hAnsi="CG Times"/>
      <w:b/>
      <w:sz w:val="22"/>
      <w:lang w:val="en-GB" w:eastAsia="en-US" w:bidi="ar-SA"/>
    </w:rPr>
  </w:style>
  <w:style w:type="paragraph" w:customStyle="1" w:styleId="Tabele">
    <w:name w:val="Tabele"/>
    <w:rsid w:val="006E108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6E108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6E1082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6E108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6E1082"/>
    <w:rPr>
      <w:rFonts w:ascii="CG Times" w:hAnsi="CG Times"/>
      <w:caps/>
      <w:sz w:val="22"/>
      <w:szCs w:val="22"/>
      <w:lang w:val="en-GB" w:eastAsia="en-US" w:bidi="ar-SA"/>
    </w:rPr>
  </w:style>
  <w:style w:type="paragraph" w:styleId="NormalWeb">
    <w:name w:val="Normal (Web)"/>
    <w:basedOn w:val="Normal"/>
    <w:rsid w:val="006E108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1198</Words>
  <Characters>6830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2019-03-16T20:20:00Z</dcterms:created>
  <dcterms:modified xsi:type="dcterms:W3CDTF">2019-03-16T20:20:00Z</dcterms:modified>
</cp:coreProperties>
</file>