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533" w:rsidRDefault="00CD1533" w:rsidP="00CD1533">
      <w:pPr>
        <w:pStyle w:val="Akti"/>
        <w:keepNext w:val="0"/>
      </w:pPr>
      <w:bookmarkStart w:id="0" w:name="_GoBack"/>
      <w:bookmarkEnd w:id="0"/>
      <w:r>
        <w:t>Vendim</w:t>
      </w:r>
    </w:p>
    <w:p w:rsidR="00CD1533" w:rsidRDefault="00CD1533" w:rsidP="00CD1533">
      <w:pPr>
        <w:pStyle w:val="NumriData"/>
        <w:keepNext w:val="0"/>
      </w:pPr>
      <w:r>
        <w:t>Nr.17, datë 7.1.2009</w:t>
      </w: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Titulli0"/>
        <w:keepNext w:val="0"/>
      </w:pPr>
      <w:r>
        <w:t>Për disa ndryshime dhe shtesa në vendimin nr.179, datë 22.2.2006 të Këshillit të Ministrave “Për krijimin e njësive të integrimit europian në ministritë e linjës”</w:t>
      </w: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  <w:r>
        <w:t>Në mbështetje të nenit 100 të Kushtetutës dhe të paragrafëve të parë e të dytë, të nenit 4 të ligjit nr.8549, datë 11.11.1999 “Statusi i nëpunësit civil”, me propozimin e Ministrit të Integrimit, Këshilli i Ministrave</w:t>
      </w: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VENDOSI0"/>
        <w:keepNext w:val="0"/>
      </w:pPr>
      <w:r>
        <w:t>Vendosi:</w:t>
      </w: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  <w:r>
        <w:t>Në vendimin nr.179, datë 22.2.2006 të Këshillit të Ministrave, bëhen këto ndryshime dhe shtesa:</w:t>
      </w:r>
    </w:p>
    <w:p w:rsidR="00CD1533" w:rsidRDefault="00CD1533" w:rsidP="00CD1533">
      <w:pPr>
        <w:pStyle w:val="Paragrafi0"/>
      </w:pPr>
      <w:r>
        <w:t>1. Pika 1 ndryshohet si më poshtë vijon:</w:t>
      </w:r>
    </w:p>
    <w:p w:rsidR="00CD1533" w:rsidRDefault="00CD1533" w:rsidP="00CD1533">
      <w:pPr>
        <w:pStyle w:val="Paragrafi0"/>
      </w:pPr>
      <w:r>
        <w:t>“1. Krijimin e njësive të integrimit europian, si struktura të veçanta, në nivel drejtorie, në përbërje të të gjitha ministrive, me përjashtim të Ministrisë së Integrimit.</w:t>
      </w:r>
    </w:p>
    <w:p w:rsidR="00CD1533" w:rsidRDefault="00CD1533" w:rsidP="00CD1533">
      <w:pPr>
        <w:pStyle w:val="Paragrafi0"/>
      </w:pPr>
      <w:r>
        <w:t>Institucionet qendrore, në varësi të Kryeministrit ose të ministrit, krijojnë njësitë e integrimit europian, në përputhje me nevojat e tyre.”.</w:t>
      </w:r>
    </w:p>
    <w:p w:rsidR="00CD1533" w:rsidRDefault="00CD1533" w:rsidP="00CD1533">
      <w:pPr>
        <w:pStyle w:val="Paragrafi0"/>
      </w:pPr>
      <w:r>
        <w:t>2. Në fund të pikës 3 shtohen fjalët: “…por jo më pak se tre nëpunës.”.</w:t>
      </w:r>
    </w:p>
    <w:p w:rsidR="00CD1533" w:rsidRDefault="00CD1533" w:rsidP="00CD1533">
      <w:pPr>
        <w:pStyle w:val="Paragrafi0"/>
      </w:pPr>
      <w:r>
        <w:t>3. Pas shkronjës “e” të pikës 5 shtohen shkronjat “e” e “f”, me këtë përmbajtje:</w:t>
      </w:r>
    </w:p>
    <w:p w:rsidR="00CD1533" w:rsidRDefault="00CD1533" w:rsidP="00CD1533">
      <w:pPr>
        <w:pStyle w:val="Paragrafi0"/>
      </w:pPr>
      <w:r>
        <w:t>“ë) bashkërendimin dhe monitorimin e programimit të ndihmës komunitare, që mund të ofrohet, në kuadër të integrimit europian;</w:t>
      </w:r>
    </w:p>
    <w:p w:rsidR="00CD1533" w:rsidRDefault="00CD1533" w:rsidP="00CD1533">
      <w:pPr>
        <w:pStyle w:val="Paragrafi0"/>
      </w:pPr>
      <w:r>
        <w:t xml:space="preserve">f) mbështetjen teknike të mbledhjeve të grupeve të punës të përhershme, sipas kapitujve të </w:t>
      </w:r>
      <w:r w:rsidRPr="00437E22">
        <w:rPr>
          <w:i/>
        </w:rPr>
        <w:t>acquis communautaire</w:t>
      </w:r>
      <w:r>
        <w:t>-GPKA;”.</w:t>
      </w:r>
    </w:p>
    <w:p w:rsidR="00CD1533" w:rsidRDefault="00CD1533" w:rsidP="00CD1533">
      <w:pPr>
        <w:pStyle w:val="Paragrafi0"/>
      </w:pPr>
      <w:r>
        <w:t>4. Në pikën 6, fjalët “…për këto ministri…” zëvendësohen me “…për institucionet e përcaktuara në pikat 1 e 2 të këtij vendimi…”.</w:t>
      </w:r>
    </w:p>
    <w:p w:rsidR="00CD1533" w:rsidRDefault="00CD1533" w:rsidP="00CD1533">
      <w:pPr>
        <w:pStyle w:val="Paragrafi0"/>
      </w:pPr>
      <w:r>
        <w:t>5. Pika 7 ndryshohet si më poshtë vijon:</w:t>
      </w:r>
    </w:p>
    <w:p w:rsidR="00CD1533" w:rsidRDefault="00CD1533" w:rsidP="00CD1533">
      <w:pPr>
        <w:pStyle w:val="Paragrafi0"/>
      </w:pPr>
      <w:r>
        <w:t>“7. Ngarkohen institucionet e përmendura në pikat 1 e 2 të këtij vendimi, të cilat nuk i kanë implementuar, brenda strukturës së tyre, këto njësi të integrimit, të paraqesin, për miratim, te Kryeministri, propozimet për ngritjen e këtyre njësive, brenda muajit janar 2009.”.</w:t>
      </w:r>
    </w:p>
    <w:p w:rsidR="00CD1533" w:rsidRDefault="00CD1533" w:rsidP="00CD1533">
      <w:pPr>
        <w:pStyle w:val="Paragrafi0"/>
      </w:pPr>
      <w:r>
        <w:t>6. Pika 8 ndryshohet si më poshtë vijon:</w:t>
      </w:r>
    </w:p>
    <w:p w:rsidR="00CD1533" w:rsidRDefault="00CD1533" w:rsidP="00CD1533">
      <w:pPr>
        <w:pStyle w:val="Paragrafi0"/>
      </w:pPr>
      <w:r>
        <w:t>“8. Ngarkohen institucionet e përcaktuara në pikat 1 e 2 të këtij vendimi dhe Ministria e Integrimit për zbatimin e këtij vendimi.”.</w:t>
      </w:r>
    </w:p>
    <w:p w:rsidR="00CD1533" w:rsidRDefault="00CD1533" w:rsidP="00CD1533">
      <w:pPr>
        <w:pStyle w:val="Paragrafi0"/>
      </w:pPr>
      <w:r>
        <w:t>7. Anekset I e II, që i bashkëlidhen vendimit nr.179, datë 22.2.2006 të Këshillit të Ministrave, zëvendësohen me anekset I e II, që i bashkëlidhen këtij vendimi.</w:t>
      </w:r>
    </w:p>
    <w:p w:rsidR="00CD1533" w:rsidRDefault="00CD1533" w:rsidP="00CD1533">
      <w:pPr>
        <w:pStyle w:val="Paragrafi0"/>
      </w:pPr>
      <w:r>
        <w:t>Ky vendim hyn në fuqi pas botimit në Fletoren Zyrtare.</w:t>
      </w: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Autoriteti"/>
      </w:pPr>
      <w:r>
        <w:t>Kryeministri</w:t>
      </w:r>
    </w:p>
    <w:p w:rsidR="00CD1533" w:rsidRDefault="00CD1533" w:rsidP="00CD1533">
      <w:pPr>
        <w:pStyle w:val="AutoritetiEmer"/>
      </w:pPr>
      <w:r>
        <w:t>Sali Berisha</w:t>
      </w: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Autoriteti"/>
      </w:pPr>
      <w:r>
        <w:t>Aneksi I</w:t>
      </w:r>
    </w:p>
    <w:p w:rsidR="00CD1533" w:rsidRDefault="00CD1533" w:rsidP="00CD1533">
      <w:pPr>
        <w:pStyle w:val="Paragrafi0"/>
      </w:pPr>
    </w:p>
    <w:p w:rsidR="00CD1533" w:rsidRDefault="00CD1533" w:rsidP="00CD1533">
      <w:pPr>
        <w:pStyle w:val="TitulliTitull"/>
      </w:pPr>
      <w:r>
        <w:t>Fushat sektoriale që do të koordinojnë respektivisht nga njësitë e integrimit europian</w:t>
      </w:r>
    </w:p>
    <w:p w:rsidR="00CD1533" w:rsidRDefault="00CD1533" w:rsidP="00CD1533">
      <w:pPr>
        <w:pStyle w:val="Paragrafi0"/>
      </w:pPr>
    </w:p>
    <w:tbl>
      <w:tblPr>
        <w:tblStyle w:val="TableGrid"/>
        <w:tblW w:w="9759" w:type="dxa"/>
        <w:tblLook w:val="01E0" w:firstRow="1" w:lastRow="1" w:firstColumn="1" w:lastColumn="1" w:noHBand="0" w:noVBand="0"/>
      </w:tblPr>
      <w:tblGrid>
        <w:gridCol w:w="3460"/>
        <w:gridCol w:w="6299"/>
      </w:tblGrid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Institucioni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Fushat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Të gjitha ministritë</w:t>
            </w:r>
          </w:p>
        </w:tc>
        <w:tc>
          <w:tcPr>
            <w:tcW w:w="6299" w:type="dxa"/>
          </w:tcPr>
          <w:p w:rsidR="00CD1533" w:rsidRPr="00005E72" w:rsidRDefault="00CD1533" w:rsidP="00CD1533">
            <w:pPr>
              <w:pStyle w:val="Paragrafi0"/>
              <w:ind w:firstLine="0"/>
              <w:rPr>
                <w:b/>
              </w:rPr>
            </w:pPr>
            <w:r w:rsidRPr="00005E72">
              <w:rPr>
                <w:b/>
              </w:rPr>
              <w:t>Lufta kundër korrupsionit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Drejtësisë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-Sistemi gjyqësor;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-Përmirësimi i sistemit të burgjeve;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-Përmirësimi i funksionimit të sistemit përmbarimor;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-Mbrojtja e të drejtave të fëmijëve;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-Sistemi i regjistrimit të pasurive të paluajtshme;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-Kthimi dhe kompensimi i pronave;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-Bashkëpunimi gjyqësor ndërkombëtar;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-Njohja reciproke e kualifikimeve për profesionet e lira.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Jashtme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-Politika e vizave, politika e jashtme, minoritetet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Bujqësisë, Ushqimit dhe Mbrojtjes së Konsumatorit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-Siguria ushqimore;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-Shërbimet veterinare;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-Prodhimi bimor;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-Agropërpunimi dhe marketingu;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-Blegtoria;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-Mbrojtja e bimëve;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-Zhvillimi rural;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-Reforma e tokës, tregu, administrimi i qëndrueshëm dhe mbrojtja e tokës;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-Plehrat kimike/kimikatet-MBUMK (është përgjegjëse për kimikate si pesticide).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Ekonomisë, Tregtisë dhe Energjetikës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-Ndihma shtetërore;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-Të drejtat e pronësisë industriale;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-Marrëveshje të tregtisë së lirë;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-Andidumping;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-Standardizimi dhe certifikimi;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-Akreditimi;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-Metrologjia ligjore dhe parapaketimet;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-Direktivat e përafrimit teknik (</w:t>
            </w:r>
            <w:r>
              <w:rPr>
                <w:i/>
              </w:rPr>
              <w:t>Në</w:t>
            </w:r>
            <w:r w:rsidRPr="00477DD4">
              <w:rPr>
                <w:i/>
              </w:rPr>
              <w:t xml:space="preserve"> Approach</w:t>
            </w:r>
            <w:r>
              <w:t>)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Pajisjet elektrike;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Enët me presion;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Lodrat;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Përputhshmëria elektromagnetike;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Makineritë;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Pajisjet e mbrojtjes personale;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Pajisje me gaz;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Mbi kërkesat për efiçencën e bojlerëve të rinj që punojnë me lëndë djegëse dhe të gazta;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Pajisjet dhe sistemet mbrojtëse të përdorshme në atmosfera potencialisht shpërthyese;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Ashensorët;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Paketimi i mbetjeve;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Instalime kabllore për transport personash;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Efiçenca energjetike e pajisjeve frigoriferike, ndriçimit fluoreshent dhe paketimi i pajisjeve elektroshtëpiake;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-Direktivat e përafrimit të vjet</w:t>
            </w:r>
            <w:r>
              <w:rPr>
                <w:rFonts w:ascii="Times New Roman" w:hAnsi="Times New Roman"/>
              </w:rPr>
              <w:t>ë</w:t>
            </w:r>
            <w:r>
              <w:t>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Qelqi;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Tekstilet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Druri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-Mbrojtja e konsumatorit dhe mbikëqyrja e tregut;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-Liria e vendosjes dhe për të ofruar shërbime;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-Legjislacioni për shoqëritë tregtare;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-Zhvillimi rajonal;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-Energjia;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Sektori i energjisë;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Sektori i hidrokarbureve;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-Politikat industriale;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Politikat industriale;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Sektori i minierave;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-SME-të, ndërmarrjet e vogla dhe të mesme;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-Kimikatet METE (është përgjegjëse për kimkatet si lëndë e parë për industrinë duke përfshirë import-eksportin).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Financave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-Doganat;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-Tatimet;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-Menaxhimi i financave publike;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-Parandalimi i pastrimit të parave;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Mjedisit, Pyjeve dhe Administrimit të Ujërave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 Legjislacioni horizontal për mjedisin;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-Cilësia e ajrit;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-Menaxhimi i mbetjeve;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-Administrimi i burimeve ujore;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-Parandalimi i ndotjes së ujit;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-Mbrojtja e natyrës;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-Ndotja dhe rreziqet industriale;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-Kimikatet-MMPAU (është përgjegjëse për kimikatet si mbetje industriale të rrezikshme);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-Organizmat e modifikuar gjenetikisht;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-Zhurmat;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-Ndryshimet klimatike;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-Pyjet dhe kullotat;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-Peshkimi;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-Dialogu social.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  <w:jc w:val="left"/>
            </w:pPr>
            <w:r>
              <w:t>Ministria e Punës, Çështjeve Sociale dhe Shanseve të Barabarta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-Punësimi;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-Mbrojtja shoqërore;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-Shëndeti dhe siguria në punë;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-Barazia gjinore;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-Politika e migracioni;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-Minoritetet;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-Kimikatet-MPÇSSHB (në këtë institucion operon Inspektorati i Punës për Mbrojtjen e Punonjësve në Industri nga Kimikatet).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Shëndetësisë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-Shëndeti publik;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Sëmundjet ngjitëse;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Mbrojtja nga duhani;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Mbrojtja nga alkooli;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Transfuzioni i gjakut;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-Barnat për përdorim njerëzor;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-Pajisjet mjekësore;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-Produktet kozmetike;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-Siguria bërthamore dhe mbrojtja nga rrezatimet;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-Njohja reciproke e kualifikimeve për profesionet e lira;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-Kimikatet-MSH (është përgjegjëse për kimikatet spitalore dhe barnat).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Brendshme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-Administrata publike;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-Reforma e decentralizimit;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-Gjendja civile;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-Menaxhimi i kufijve;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-Azili;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-Krimi i organizuar dhe trafiqet e paligjshme;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-Lufta kundër drogës;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Parandalimi i pastrimit të parave;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-Lufta kundër terrorizmit;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-Policia.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Mbrojtjes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-Lufta kundër terrorizmit;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Çminimi;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-Materialet dhe teknologjitë me përdorim të dyfishtë.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  <w:jc w:val="left"/>
            </w:pPr>
            <w:r>
              <w:t>Ministria e Punëve Publike, Transportit dhe Telekomunikacionit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-Transporti rrugor;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-Transporti hekurudhor;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-Sistemi hekurudhor i shpejtësisë së lartë;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-Mjetet motorike;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-Transporti detar;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-Transporti ajror;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-Infrastrukturë rrugore;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-Siguria rrugore;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-Materialet e ndërtimit;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-Menaxhimi i ujit të pijshëm;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-Telekomunikacioni;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-Shërbimet postare;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-Kimikatet-MPPTT (është përgjegjëse për kimikatet nga mbetjet urbane).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Arsimit dhe Shkencës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-Arsimi dhe formimi profesional;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-Mosdiskrimini në arsim;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-Arsimi parauniversitar;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-Arsimi i lartë;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-Kërkimi shkencor;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-Njohja e diplomave.</w:t>
            </w:r>
          </w:p>
        </w:tc>
      </w:tr>
      <w:tr w:rsidR="00CD1533">
        <w:tc>
          <w:tcPr>
            <w:tcW w:w="3460" w:type="dxa"/>
          </w:tcPr>
          <w:p w:rsidR="00CD1533" w:rsidRDefault="00CD1533" w:rsidP="00CD1533">
            <w:pPr>
              <w:pStyle w:val="Paragrafi0"/>
              <w:ind w:firstLine="0"/>
            </w:pPr>
            <w:r>
              <w:t>Ministria e Turizmit, Kulturës, Rinisë dhe Sporteve</w:t>
            </w:r>
          </w:p>
        </w:tc>
        <w:tc>
          <w:tcPr>
            <w:tcW w:w="6299" w:type="dxa"/>
          </w:tcPr>
          <w:p w:rsidR="00CD1533" w:rsidRDefault="00CD1533" w:rsidP="00CD1533">
            <w:pPr>
              <w:pStyle w:val="Paragrafi0"/>
              <w:ind w:firstLine="0"/>
            </w:pPr>
            <w:r>
              <w:t>-Lëvizja e lirë e mallrave kulturore;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-Kultura dhe turizmi;</w:t>
            </w:r>
          </w:p>
          <w:p w:rsidR="00CD1533" w:rsidRDefault="00CD1533" w:rsidP="00CD1533">
            <w:pPr>
              <w:pStyle w:val="Paragrafi0"/>
              <w:ind w:firstLine="0"/>
            </w:pPr>
            <w:r>
              <w:t>-Të drejtat e pronësisë intelektuale.</w:t>
            </w:r>
          </w:p>
        </w:tc>
      </w:tr>
    </w:tbl>
    <w:p w:rsidR="00CD1533" w:rsidRDefault="00CD1533" w:rsidP="00CD1533">
      <w:pPr>
        <w:pStyle w:val="Paragrafi0"/>
        <w:jc w:val="right"/>
      </w:pPr>
      <w:r>
        <w:t>ANEKSI II</w:t>
      </w:r>
    </w:p>
    <w:p w:rsidR="00CD1533" w:rsidRDefault="00CD1533" w:rsidP="00CD1533">
      <w:pPr>
        <w:pStyle w:val="Paragrafi0"/>
        <w:jc w:val="right"/>
      </w:pPr>
    </w:p>
    <w:p w:rsidR="00CD1533" w:rsidRDefault="00CD1533" w:rsidP="00CD1533">
      <w:pPr>
        <w:pStyle w:val="TitulliTitull"/>
      </w:pPr>
      <w:r>
        <w:t>Kriteret për përzgjedhjen e nëpunësve të njësive të integrimit europian</w:t>
      </w:r>
    </w:p>
    <w:p w:rsidR="00CD1533" w:rsidRPr="00592AA2" w:rsidRDefault="00CD1533" w:rsidP="00CD1533">
      <w:pPr>
        <w:pStyle w:val="Paragrafi0"/>
        <w:rPr>
          <w:sz w:val="14"/>
        </w:rPr>
      </w:pPr>
    </w:p>
    <w:p w:rsidR="00CD1533" w:rsidRDefault="00CD1533" w:rsidP="00CD1533">
      <w:pPr>
        <w:pStyle w:val="Paragrafi0"/>
      </w:pPr>
      <w:r>
        <w:t>Nëpunësi i njësisë së integrimit europian duhet të përzgjidhet në bazë të kritereve të përgjithshme të mëposhtme:</w:t>
      </w:r>
    </w:p>
    <w:p w:rsidR="00CD1533" w:rsidRDefault="00CD1533" w:rsidP="00CD1533">
      <w:pPr>
        <w:pStyle w:val="Paragrafi0"/>
      </w:pPr>
      <w:r>
        <w:t>- Të ketë mbaruar arsimin e lartë;</w:t>
      </w:r>
    </w:p>
    <w:p w:rsidR="00CD1533" w:rsidRDefault="00CD1533" w:rsidP="00CD1533">
      <w:pPr>
        <w:pStyle w:val="Paragrafi0"/>
      </w:pPr>
      <w:r>
        <w:t>- Grada master përbën avantazh;</w:t>
      </w:r>
    </w:p>
    <w:p w:rsidR="00CD1533" w:rsidRDefault="00CD1533" w:rsidP="00CD1533">
      <w:pPr>
        <w:pStyle w:val="Paragrafi0"/>
      </w:pPr>
      <w:r>
        <w:t>- Eksperienca në punë të ngjashme përbën avantazh;</w:t>
      </w:r>
    </w:p>
    <w:p w:rsidR="00CD1533" w:rsidRDefault="00CD1533" w:rsidP="00CD1533">
      <w:pPr>
        <w:pStyle w:val="Paragrafi0"/>
      </w:pPr>
      <w:r>
        <w:t>- Të ketë aftësi në përgatitje raportesh, analizash, komunikim dhe prezantim;</w:t>
      </w:r>
    </w:p>
    <w:p w:rsidR="00CD1533" w:rsidRDefault="00CD1533" w:rsidP="00CD1533">
      <w:pPr>
        <w:pStyle w:val="Paragrafi0"/>
      </w:pPr>
      <w:r>
        <w:t>-Të ketë njohuri shumë të mira në gjuhën angleze;</w:t>
      </w:r>
    </w:p>
    <w:p w:rsidR="00CD1533" w:rsidRDefault="00CD1533" w:rsidP="00CD1533">
      <w:pPr>
        <w:pStyle w:val="Paragrafi0"/>
      </w:pPr>
      <w:r>
        <w:t>-Njohja e një gjuhe të dytë të BE-së përbën avantazh;</w:t>
      </w:r>
    </w:p>
    <w:p w:rsidR="00CD1533" w:rsidRDefault="00CD1533" w:rsidP="00CD1533">
      <w:pPr>
        <w:pStyle w:val="Paragrafi0"/>
      </w:pPr>
      <w:r>
        <w:t>-Të përdorë programet bazë të punës në kompjuter;</w:t>
      </w:r>
    </w:p>
    <w:p w:rsidR="00CD1533" w:rsidRDefault="00CD1533" w:rsidP="00CD1533">
      <w:pPr>
        <w:pStyle w:val="Paragrafi0"/>
      </w:pPr>
      <w:r>
        <w:t>-Të ketë aftësi të mira komunikuese dhe të punës në grup.</w:t>
      </w:r>
    </w:p>
    <w:sectPr w:rsidR="00CD15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1533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616583"/>
    <w:rsid w:val="00682F33"/>
    <w:rsid w:val="00683536"/>
    <w:rsid w:val="006B2EF9"/>
    <w:rsid w:val="006C6CC1"/>
    <w:rsid w:val="006E0B99"/>
    <w:rsid w:val="006E3575"/>
    <w:rsid w:val="00716B4B"/>
    <w:rsid w:val="00761FEB"/>
    <w:rsid w:val="007708DE"/>
    <w:rsid w:val="00792743"/>
    <w:rsid w:val="0079382F"/>
    <w:rsid w:val="007C561F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A07EF"/>
    <w:rsid w:val="00CA4FE2"/>
    <w:rsid w:val="00CB1A2D"/>
    <w:rsid w:val="00CD1533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5A0B28-9C05-4478-B9A7-95DDC717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533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CD1533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