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FE" w:rsidRDefault="00A003FE" w:rsidP="00A003FE">
      <w:pPr>
        <w:pStyle w:val="Akti"/>
        <w:keepNext w:val="0"/>
      </w:pPr>
      <w:bookmarkStart w:id="0" w:name="_GoBack"/>
      <w:bookmarkEnd w:id="0"/>
      <w:r>
        <w:t>Vendim</w:t>
      </w:r>
    </w:p>
    <w:p w:rsidR="00A003FE" w:rsidRDefault="00A003FE" w:rsidP="00A003FE">
      <w:pPr>
        <w:pStyle w:val="NumriData"/>
        <w:keepNext w:val="0"/>
      </w:pPr>
      <w:r>
        <w:t>Nr.20, datë 14.1.2009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Titulli0"/>
        <w:keepNext w:val="0"/>
      </w:pPr>
      <w:r>
        <w:t>Për miratimin e strukturës dhe të niveleve të pagave të punonjësve të administratës gjyqësore të gjykatave të shkallës së parë dhe të gjykatave të apelit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  <w:r>
        <w:t>Në mbështetje të nenit 100 të Kushtetutës dhe të neneve 2 e 5/1 të ligjit nr.8487, datë 13.5.1999 “Për kompetencat për caktimin e pagave të punës”, të ndryshuar dhe të ligjit nr.10025, datë 27.11.2008 “Për buxhetin e vitit 2009”, me propozimin e Ministrit të Drejtësisë, të Ministrit të Brendshëm dhe të Ministrit të Financave, Këshilli i Ministrave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VENDOSI0"/>
        <w:keepNext w:val="0"/>
      </w:pPr>
      <w:r>
        <w:t>Vendosi: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  <w:r>
        <w:t>1. Në fushën e veprimit të këtij vendimi përfshihet administrata gjyqësore e gjykatave të shkallës së parë dhe të gjykatave të apelit.</w:t>
      </w:r>
    </w:p>
    <w:p w:rsidR="00A003FE" w:rsidRDefault="00A003FE" w:rsidP="00A003FE">
      <w:pPr>
        <w:pStyle w:val="Paragrafi0"/>
      </w:pPr>
      <w:r>
        <w:t>2. Struktura dhe nivelet e pagave të punonjësve të administratës gjyqësore, në gjykatat e shkallës së parë dhe në gjykatat e apelit, në pozicionet “Specialist”, “Sekretar gjyqësor”, “Kryetar dege”, “Kryesekretar gjyqësor” dhe “Përgjegjës i shërbimeve mbështetëse në Gjykatën e Krimeve të Rënda”, të jenë sipas lidhjes nr.1, që i bashkëlidhet këtij vendimi dhe është pjesë përbërëse e tij.</w:t>
      </w:r>
    </w:p>
    <w:p w:rsidR="00A003FE" w:rsidRDefault="00A003FE" w:rsidP="00A003FE">
      <w:pPr>
        <w:pStyle w:val="Paragrafi0"/>
      </w:pPr>
      <w:r>
        <w:t>3. Paga e grupit, (kolona 1), diplomë e shkollës së lartë, është 11 000 lekë në muaj.</w:t>
      </w:r>
    </w:p>
    <w:p w:rsidR="00A003FE" w:rsidRDefault="00A003FE" w:rsidP="00A003FE">
      <w:pPr>
        <w:pStyle w:val="Paragrafi0"/>
      </w:pPr>
      <w:r>
        <w:t>4.Shtesa për vjetërsi në punë, (kolona 2), jepet në masën 2 për qind pas çdo viti pune, por jo më shumë se për 25 vjet dhe llogaritet mbi pagën e grupit.</w:t>
      </w:r>
    </w:p>
    <w:p w:rsidR="00A003FE" w:rsidRDefault="00A003FE" w:rsidP="00A003FE">
      <w:pPr>
        <w:pStyle w:val="Paragrafi0"/>
      </w:pPr>
      <w:r>
        <w:t>5. Shtesa për pozicion është sipas kolonës 4 të lidhjes nr.1 të këtij vendimi.</w:t>
      </w:r>
    </w:p>
    <w:p w:rsidR="00A003FE" w:rsidRDefault="00A003FE" w:rsidP="00A003FE">
      <w:pPr>
        <w:pStyle w:val="Paragrafi0"/>
      </w:pPr>
      <w:r>
        <w:t>Kategorizimi për çdo pozicion pune përcaktohet në urdhrin e miratimit të strukturës dhe të organikës së çdo gjykate.</w:t>
      </w:r>
    </w:p>
    <w:p w:rsidR="00A003FE" w:rsidRDefault="00A003FE" w:rsidP="00A003FE">
      <w:pPr>
        <w:pStyle w:val="Paragrafi0"/>
      </w:pPr>
      <w:r>
        <w:t>6. “Specialistët”, në institucionet e përcaktuara në pikën 1 të këtij vendimi, që punojnë në pozicione, që lidhen me procesin e informatizimit të veprimtarisë së administratës gjyqësore dhe kërkojnë, në mënyrë të detyrueshme, arsimin e lartë, në degët “Inxhinieri elektronike” apo “Informatikë“, përfitojnë një shtesë, për kushte pune, prej 10 000 lekësh mbi pagën mujore të kategorisë përkatëse. Miratimi i kësaj shtese bëhet rast pas rasti, nga Zyra e Administrimit të Buxhetit Gjyqësor, në përputhje me përshkrimin e pozicionit të punës.</w:t>
      </w:r>
    </w:p>
    <w:p w:rsidR="00A003FE" w:rsidRDefault="00A003FE" w:rsidP="00A003FE">
      <w:pPr>
        <w:pStyle w:val="Paragrafi0"/>
      </w:pPr>
      <w:r>
        <w:t>7. Punonjësit e tjerë të administratës së gjykatave, që nuk përfshihen në lidhjen nr.1, do të trajtohen në pagë sipas vendimit të Këshillit të Ministrave “Për pagat e punonjësve mbështetës të institucioneve buxhetore dhe të nëpunësve të disa institucioneve buxhetore”.</w:t>
      </w:r>
    </w:p>
    <w:p w:rsidR="00A003FE" w:rsidRDefault="00A003FE" w:rsidP="00A003FE">
      <w:pPr>
        <w:pStyle w:val="Paragrafi0"/>
      </w:pPr>
      <w:r>
        <w:t>8. Efektet financiare për vitin 2009 të përballohen nga fondet e miratuara për pushtetin gjyqësor, në buxhetin e vitit 2009.</w:t>
      </w:r>
    </w:p>
    <w:p w:rsidR="00A003FE" w:rsidRDefault="00A003FE" w:rsidP="00A003FE">
      <w:pPr>
        <w:pStyle w:val="Paragrafi0"/>
      </w:pPr>
      <w:r>
        <w:t>9. Ngarkohen Ministria e Drejtësisë, Ministria e Brendshme, Ministria e Financave dhe Zyra e Administrimit të Buxhetit Gjyqësor për zbatimin e këtij vendimi.</w:t>
      </w:r>
    </w:p>
    <w:p w:rsidR="00A003FE" w:rsidRDefault="00A003FE" w:rsidP="00A003FE">
      <w:pPr>
        <w:pStyle w:val="Paragrafi0"/>
      </w:pPr>
      <w:r>
        <w:t>10. Të gjitha dispozitat, që bien në kundërshtim me këtë vendim, shfuqizohen.</w:t>
      </w:r>
    </w:p>
    <w:p w:rsidR="00A003FE" w:rsidRDefault="00A003FE" w:rsidP="00A003FE">
      <w:pPr>
        <w:pStyle w:val="Paragrafi0"/>
      </w:pPr>
      <w:r>
        <w:t>Ky vendim hyn në fuqi pas botimit në Fletoren Zyrtare dhe i shtrin efektet financiare nga data 1 janar 2009.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Autoriteti"/>
      </w:pPr>
      <w:r>
        <w:t>Kryeministri</w:t>
      </w:r>
    </w:p>
    <w:p w:rsidR="00A003FE" w:rsidRDefault="00A003FE" w:rsidP="00A003FE">
      <w:pPr>
        <w:pStyle w:val="AutoritetiEmer"/>
      </w:pPr>
      <w:r>
        <w:t>Sali Berisha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Paragrafi0"/>
        <w:jc w:val="right"/>
      </w:pPr>
      <w:r>
        <w:t>Lidhja nr.1</w:t>
      </w:r>
    </w:p>
    <w:p w:rsidR="00A003FE" w:rsidRDefault="00A003FE" w:rsidP="00A003FE">
      <w:pPr>
        <w:pStyle w:val="Paragrafi0"/>
      </w:pPr>
    </w:p>
    <w:p w:rsidR="00A003FE" w:rsidRDefault="00A003FE" w:rsidP="00A003FE">
      <w:pPr>
        <w:pStyle w:val="TitulliTitull"/>
        <w:keepNext w:val="0"/>
      </w:pPr>
      <w:r>
        <w:t>Struktura DHE niveleT e pagave të PUNONJËSVE TË administratës gjyqësore në gjykatat e shkallës së parë dhe në gjykatat e apelit</w:t>
      </w:r>
    </w:p>
    <w:p w:rsidR="00A003FE" w:rsidRDefault="00A003FE" w:rsidP="00A003FE">
      <w:pPr>
        <w:pStyle w:val="Paragrafi0"/>
      </w:pP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2114"/>
        <w:gridCol w:w="1686"/>
        <w:gridCol w:w="1684"/>
        <w:gridCol w:w="1686"/>
        <w:gridCol w:w="1686"/>
      </w:tblGrid>
      <w:tr w:rsidR="00A003FE" w:rsidRPr="002F7496">
        <w:trPr>
          <w:jc w:val="center"/>
        </w:trPr>
        <w:tc>
          <w:tcPr>
            <w:tcW w:w="5000" w:type="pct"/>
            <w:gridSpan w:val="5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PAGA MUJORE</w:t>
            </w:r>
          </w:p>
        </w:tc>
      </w:tr>
      <w:tr w:rsidR="00A003FE" w:rsidRPr="002F7496">
        <w:trPr>
          <w:jc w:val="center"/>
        </w:trPr>
        <w:tc>
          <w:tcPr>
            <w:tcW w:w="1193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Pozicioni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Kategoria</w:t>
            </w:r>
          </w:p>
        </w:tc>
        <w:tc>
          <w:tcPr>
            <w:tcW w:w="1903" w:type="pct"/>
            <w:gridSpan w:val="2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Paga individuale (Paga bazë)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Shtesa e pozicionit</w:t>
            </w:r>
          </w:p>
        </w:tc>
      </w:tr>
      <w:tr w:rsidR="00A003FE" w:rsidRPr="002F7496">
        <w:trPr>
          <w:jc w:val="center"/>
        </w:trPr>
        <w:tc>
          <w:tcPr>
            <w:tcW w:w="1193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1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1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2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3</w:t>
            </w:r>
          </w:p>
        </w:tc>
      </w:tr>
      <w:tr w:rsidR="00A003FE" w:rsidRPr="002F7496">
        <w:trPr>
          <w:jc w:val="center"/>
        </w:trPr>
        <w:tc>
          <w:tcPr>
            <w:tcW w:w="1193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951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Paga e grupit (PG)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Shtesa vjetore për vjetërsi (SHV)</w:t>
            </w:r>
          </w:p>
        </w:tc>
        <w:tc>
          <w:tcPr>
            <w:tcW w:w="952" w:type="pct"/>
          </w:tcPr>
          <w:p w:rsidR="00A003FE" w:rsidRPr="002F7496" w:rsidRDefault="00A003FE" w:rsidP="00A003FE">
            <w:pPr>
              <w:pStyle w:val="Tabele"/>
              <w:jc w:val="center"/>
              <w:rPr>
                <w:b/>
              </w:rPr>
            </w:pPr>
            <w:r w:rsidRPr="002F7496">
              <w:rPr>
                <w:b/>
              </w:rPr>
              <w:t>Shtesa e pozicionit (SHP)</w:t>
            </w:r>
          </w:p>
        </w:tc>
      </w:tr>
      <w:tr w:rsidR="00A003FE" w:rsidRPr="00A77FFD">
        <w:trPr>
          <w:jc w:val="center"/>
        </w:trPr>
        <w:tc>
          <w:tcPr>
            <w:tcW w:w="1193" w:type="pct"/>
          </w:tcPr>
          <w:p w:rsidR="00A003FE" w:rsidRPr="00A77FFD" w:rsidRDefault="00A003FE" w:rsidP="00A003FE">
            <w:pPr>
              <w:pStyle w:val="Tabele"/>
            </w:pP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</w:p>
        </w:tc>
        <w:tc>
          <w:tcPr>
            <w:tcW w:w="951" w:type="pct"/>
          </w:tcPr>
          <w:p w:rsidR="00A003FE" w:rsidRPr="00A77FFD" w:rsidRDefault="00A003FE" w:rsidP="00A003FE">
            <w:pPr>
              <w:pStyle w:val="Tabele"/>
            </w:pP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</w:p>
        </w:tc>
      </w:tr>
      <w:tr w:rsidR="00A003FE" w:rsidRPr="00A77FFD">
        <w:trPr>
          <w:jc w:val="center"/>
        </w:trPr>
        <w:tc>
          <w:tcPr>
            <w:tcW w:w="1193" w:type="pct"/>
          </w:tcPr>
          <w:p w:rsidR="00A003FE" w:rsidRPr="00A77FFD" w:rsidRDefault="00A003FE" w:rsidP="00A003FE">
            <w:pPr>
              <w:pStyle w:val="Tabele"/>
            </w:pPr>
            <w:r w:rsidRPr="00A77FFD">
              <w:t>Përgjegjës i Shërbi</w:t>
            </w:r>
            <w:r>
              <w:t>meve Mbështetëse në Gjykatën e K</w:t>
            </w:r>
            <w:r w:rsidRPr="00A77FFD">
              <w:t>rimeve të Rënda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III-a</w:t>
            </w:r>
          </w:p>
        </w:tc>
        <w:tc>
          <w:tcPr>
            <w:tcW w:w="951" w:type="pct"/>
          </w:tcPr>
          <w:p w:rsidR="00A003FE" w:rsidRPr="00A77FFD" w:rsidRDefault="00A003FE" w:rsidP="00A003FE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68 500</w:t>
            </w:r>
          </w:p>
        </w:tc>
      </w:tr>
      <w:tr w:rsidR="00A003FE" w:rsidRPr="00A77FFD">
        <w:trPr>
          <w:jc w:val="center"/>
        </w:trPr>
        <w:tc>
          <w:tcPr>
            <w:tcW w:w="1193" w:type="pct"/>
          </w:tcPr>
          <w:p w:rsidR="00A003FE" w:rsidRPr="00A77FFD" w:rsidRDefault="00A003FE" w:rsidP="00A003FE">
            <w:pPr>
              <w:pStyle w:val="Tabele"/>
            </w:pPr>
            <w:r w:rsidRPr="00A77FFD">
              <w:t>Kryesekretar gjyqësor</w:t>
            </w:r>
          </w:p>
          <w:p w:rsidR="00A003FE" w:rsidRPr="00A77FFD" w:rsidRDefault="00A003FE" w:rsidP="00A003FE">
            <w:pPr>
              <w:pStyle w:val="Tabele"/>
            </w:pPr>
            <w:r w:rsidRPr="00A77FFD">
              <w:t>Kryetar dege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III-b</w:t>
            </w:r>
          </w:p>
        </w:tc>
        <w:tc>
          <w:tcPr>
            <w:tcW w:w="951" w:type="pct"/>
          </w:tcPr>
          <w:p w:rsidR="00A003FE" w:rsidRPr="00A77FFD" w:rsidRDefault="00A003FE" w:rsidP="00A003FE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51 500</w:t>
            </w:r>
          </w:p>
        </w:tc>
      </w:tr>
      <w:tr w:rsidR="00A003FE" w:rsidRPr="00A77FFD">
        <w:trPr>
          <w:jc w:val="center"/>
        </w:trPr>
        <w:tc>
          <w:tcPr>
            <w:tcW w:w="1193" w:type="pct"/>
          </w:tcPr>
          <w:p w:rsidR="00A003FE" w:rsidRPr="00A77FFD" w:rsidRDefault="00A003FE" w:rsidP="00A003FE">
            <w:pPr>
              <w:pStyle w:val="Tabele"/>
            </w:pPr>
            <w:r w:rsidRPr="00A77FFD">
              <w:t>Sekretar gjyqësor</w:t>
            </w:r>
          </w:p>
          <w:p w:rsidR="00A003FE" w:rsidRPr="00A77FFD" w:rsidRDefault="00A003FE" w:rsidP="00A003FE">
            <w:pPr>
              <w:pStyle w:val="Tabele"/>
            </w:pPr>
            <w:r w:rsidRPr="00A77FFD">
              <w:t>Specialist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IV-a</w:t>
            </w:r>
          </w:p>
        </w:tc>
        <w:tc>
          <w:tcPr>
            <w:tcW w:w="951" w:type="pct"/>
          </w:tcPr>
          <w:p w:rsidR="00A003FE" w:rsidRPr="00A77FFD" w:rsidRDefault="00A003FE" w:rsidP="00A003FE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39 000</w:t>
            </w:r>
          </w:p>
        </w:tc>
      </w:tr>
      <w:tr w:rsidR="00A003FE" w:rsidRPr="00A77FFD">
        <w:trPr>
          <w:jc w:val="center"/>
        </w:trPr>
        <w:tc>
          <w:tcPr>
            <w:tcW w:w="1193" w:type="pct"/>
          </w:tcPr>
          <w:p w:rsidR="00A003FE" w:rsidRPr="00A77FFD" w:rsidRDefault="00A003FE" w:rsidP="00A003FE">
            <w:pPr>
              <w:pStyle w:val="Tabele"/>
            </w:pPr>
            <w:r w:rsidRPr="00A77FFD">
              <w:t>Specialist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IV-b</w:t>
            </w:r>
          </w:p>
        </w:tc>
        <w:tc>
          <w:tcPr>
            <w:tcW w:w="951" w:type="pct"/>
          </w:tcPr>
          <w:p w:rsidR="00A003FE" w:rsidRPr="00A77FFD" w:rsidRDefault="00A003FE" w:rsidP="00A003FE">
            <w:pPr>
              <w:pStyle w:val="Tabele"/>
            </w:pPr>
            <w:r w:rsidRPr="00A77FFD">
              <w:t>11 000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2%</w:t>
            </w:r>
          </w:p>
        </w:tc>
        <w:tc>
          <w:tcPr>
            <w:tcW w:w="952" w:type="pct"/>
          </w:tcPr>
          <w:p w:rsidR="00A003FE" w:rsidRPr="00A77FFD" w:rsidRDefault="00A003FE" w:rsidP="00A003FE">
            <w:pPr>
              <w:pStyle w:val="Tabele"/>
            </w:pPr>
            <w:r w:rsidRPr="00A77FFD">
              <w:t>29 000</w:t>
            </w:r>
          </w:p>
        </w:tc>
      </w:tr>
    </w:tbl>
    <w:p w:rsidR="00016606" w:rsidRDefault="00016606" w:rsidP="00A003FE">
      <w:pPr>
        <w:pStyle w:val="Paragrafi0"/>
      </w:pPr>
    </w:p>
    <w:sectPr w:rsidR="00016606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264D">
      <w:r>
        <w:separator/>
      </w:r>
    </w:p>
  </w:endnote>
  <w:endnote w:type="continuationSeparator" w:id="0">
    <w:p w:rsidR="00000000" w:rsidRDefault="00A5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3FE" w:rsidRDefault="00A003FE" w:rsidP="00A003F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03FE" w:rsidRDefault="00A003FE" w:rsidP="00A003F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3FE" w:rsidRDefault="00A003FE" w:rsidP="00A003FE">
    <w:pPr>
      <w:pStyle w:val="Footer"/>
      <w:framePr w:wrap="around" w:vAnchor="text" w:hAnchor="margin" w:xAlign="outside" w:y="1"/>
      <w:rPr>
        <w:rStyle w:val="PageNumber"/>
      </w:rPr>
    </w:pPr>
    <w:r w:rsidRPr="00753BFB">
      <w:rPr>
        <w:rStyle w:val="PageNumber"/>
        <w:rFonts w:ascii="CG Times" w:hAnsi="CG Times"/>
      </w:rPr>
      <w:fldChar w:fldCharType="begin"/>
    </w:r>
    <w:r w:rsidRPr="00753BFB">
      <w:rPr>
        <w:rStyle w:val="PageNumber"/>
        <w:rFonts w:ascii="CG Times" w:hAnsi="CG Times"/>
      </w:rPr>
      <w:instrText xml:space="preserve">PAGE  </w:instrText>
    </w:r>
    <w:r w:rsidRPr="00753BFB">
      <w:rPr>
        <w:rStyle w:val="PageNumber"/>
        <w:rFonts w:ascii="CG Times" w:hAnsi="CG Times"/>
      </w:rPr>
      <w:fldChar w:fldCharType="separate"/>
    </w:r>
    <w:r>
      <w:rPr>
        <w:rStyle w:val="PageNumber"/>
        <w:rFonts w:ascii="CG Times" w:hAnsi="CG Times"/>
        <w:noProof/>
      </w:rPr>
      <w:t>1</w:t>
    </w:r>
    <w:r w:rsidRPr="00753BFB">
      <w:rPr>
        <w:rStyle w:val="PageNumber"/>
        <w:rFonts w:ascii="CG Times" w:hAnsi="CG Times"/>
      </w:rPr>
      <w:fldChar w:fldCharType="end"/>
    </w:r>
  </w:p>
  <w:p w:rsidR="00A003FE" w:rsidRDefault="00A003FE" w:rsidP="00A003F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264D">
      <w:r>
        <w:separator/>
      </w:r>
    </w:p>
  </w:footnote>
  <w:footnote w:type="continuationSeparator" w:id="0">
    <w:p w:rsidR="00000000" w:rsidRDefault="00A52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003FE"/>
    <w:rsid w:val="00016606"/>
    <w:rsid w:val="000239EC"/>
    <w:rsid w:val="00055B92"/>
    <w:rsid w:val="00066D6B"/>
    <w:rsid w:val="00071072"/>
    <w:rsid w:val="000813AD"/>
    <w:rsid w:val="000C750C"/>
    <w:rsid w:val="000D1F2B"/>
    <w:rsid w:val="000D65A1"/>
    <w:rsid w:val="00132DD0"/>
    <w:rsid w:val="00132FBB"/>
    <w:rsid w:val="0015202D"/>
    <w:rsid w:val="001763D1"/>
    <w:rsid w:val="001C1609"/>
    <w:rsid w:val="001E3756"/>
    <w:rsid w:val="00203073"/>
    <w:rsid w:val="002047F1"/>
    <w:rsid w:val="00206485"/>
    <w:rsid w:val="0022239B"/>
    <w:rsid w:val="002278F6"/>
    <w:rsid w:val="002612BA"/>
    <w:rsid w:val="0029358C"/>
    <w:rsid w:val="002B5C1F"/>
    <w:rsid w:val="002C663A"/>
    <w:rsid w:val="002E7680"/>
    <w:rsid w:val="003107C7"/>
    <w:rsid w:val="0031550B"/>
    <w:rsid w:val="00354C70"/>
    <w:rsid w:val="00357FBC"/>
    <w:rsid w:val="0037658A"/>
    <w:rsid w:val="003A59E8"/>
    <w:rsid w:val="003B370C"/>
    <w:rsid w:val="003C5597"/>
    <w:rsid w:val="003E5A3C"/>
    <w:rsid w:val="00402051"/>
    <w:rsid w:val="00412459"/>
    <w:rsid w:val="00453249"/>
    <w:rsid w:val="004676E2"/>
    <w:rsid w:val="00474045"/>
    <w:rsid w:val="004C798A"/>
    <w:rsid w:val="004F5C9A"/>
    <w:rsid w:val="005009A9"/>
    <w:rsid w:val="00502300"/>
    <w:rsid w:val="00572B76"/>
    <w:rsid w:val="005D3BF4"/>
    <w:rsid w:val="00616583"/>
    <w:rsid w:val="00682F33"/>
    <w:rsid w:val="00683536"/>
    <w:rsid w:val="006B2EF9"/>
    <w:rsid w:val="006C6CC1"/>
    <w:rsid w:val="006E0B99"/>
    <w:rsid w:val="006E3575"/>
    <w:rsid w:val="00761FEB"/>
    <w:rsid w:val="007708DE"/>
    <w:rsid w:val="00792743"/>
    <w:rsid w:val="0079382F"/>
    <w:rsid w:val="007C561F"/>
    <w:rsid w:val="007D12D3"/>
    <w:rsid w:val="007E4705"/>
    <w:rsid w:val="007F4A22"/>
    <w:rsid w:val="00844A57"/>
    <w:rsid w:val="008518B1"/>
    <w:rsid w:val="008533FC"/>
    <w:rsid w:val="008569AD"/>
    <w:rsid w:val="0088753F"/>
    <w:rsid w:val="009A7512"/>
    <w:rsid w:val="009C244E"/>
    <w:rsid w:val="009C698B"/>
    <w:rsid w:val="009E196D"/>
    <w:rsid w:val="00A003FE"/>
    <w:rsid w:val="00A51C90"/>
    <w:rsid w:val="00A5264D"/>
    <w:rsid w:val="00A55AFE"/>
    <w:rsid w:val="00A81297"/>
    <w:rsid w:val="00A93486"/>
    <w:rsid w:val="00A95AEE"/>
    <w:rsid w:val="00AB6ED0"/>
    <w:rsid w:val="00AE2C3A"/>
    <w:rsid w:val="00AF6FC9"/>
    <w:rsid w:val="00B231C6"/>
    <w:rsid w:val="00B304AB"/>
    <w:rsid w:val="00B30A87"/>
    <w:rsid w:val="00B31AA8"/>
    <w:rsid w:val="00B320FC"/>
    <w:rsid w:val="00B36C00"/>
    <w:rsid w:val="00B40E2A"/>
    <w:rsid w:val="00B8484C"/>
    <w:rsid w:val="00BE1622"/>
    <w:rsid w:val="00C15A00"/>
    <w:rsid w:val="00C5019E"/>
    <w:rsid w:val="00CA07EF"/>
    <w:rsid w:val="00CA4FE2"/>
    <w:rsid w:val="00CB1A2D"/>
    <w:rsid w:val="00CD3859"/>
    <w:rsid w:val="00CE179E"/>
    <w:rsid w:val="00CE6CC0"/>
    <w:rsid w:val="00D4083D"/>
    <w:rsid w:val="00D6683B"/>
    <w:rsid w:val="00D75EA0"/>
    <w:rsid w:val="00D91B15"/>
    <w:rsid w:val="00DA7194"/>
    <w:rsid w:val="00DC22F7"/>
    <w:rsid w:val="00E03C4C"/>
    <w:rsid w:val="00E834AF"/>
    <w:rsid w:val="00E96895"/>
    <w:rsid w:val="00EB1957"/>
    <w:rsid w:val="00EB24A9"/>
    <w:rsid w:val="00EC3315"/>
    <w:rsid w:val="00EF7E31"/>
    <w:rsid w:val="00F15C00"/>
    <w:rsid w:val="00F25E06"/>
    <w:rsid w:val="00F37A38"/>
    <w:rsid w:val="00F43E17"/>
    <w:rsid w:val="00F83DBC"/>
    <w:rsid w:val="00FA0E4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4CE75C-CA95-4BB9-8D3C-E23BDFDA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3FE"/>
    <w:rPr>
      <w:rFonts w:ascii="Arial" w:eastAsia="MS Mincho" w:hAnsi="Arial"/>
      <w:sz w:val="24"/>
      <w:lang w:val="en-GB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sz w:val="20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noProof/>
      <w:sz w:val="20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noProof/>
      <w:sz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sz w:val="20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noProof/>
      <w:sz w:val="20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lang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sz w:val="20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sz w:val="20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sz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A003FE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A003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2019-03-18T12:35:00Z</dcterms:created>
  <dcterms:modified xsi:type="dcterms:W3CDTF">2019-03-18T12:35:00Z</dcterms:modified>
</cp:coreProperties>
</file>