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7F1" w:rsidRPr="00324519" w:rsidRDefault="002827F1" w:rsidP="002827F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 </w:t>
      </w:r>
    </w:p>
    <w:p w:rsidR="002827F1" w:rsidRPr="00324519" w:rsidRDefault="002827F1" w:rsidP="002827F1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Nr.235, datë 6.3.2009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</w:p>
    <w:p w:rsidR="002827F1" w:rsidRPr="00324519" w:rsidRDefault="002827F1" w:rsidP="002827F1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 DISA SHTESA NË VENDIMIN NR.84, DATË 3.2.2008 TË KËSHILLIT TË MINISTRAVE “PËR SHPRONËSIMIN, PËR INTERES PUBLIK, TË PRONARËVE TË PASURIVE TË PALUAJTSHME, PRONË PRIVATE, QË PREKEN NGA NDËRTIMI I SEGMENTIT RRUGOR “KALIMASH-MORINË”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dhe të nenit 8 të ligjit nr.9464, datë 28.12.2005 “Për Buxhetin e Shtetit të vitit 2006”, të ndryshuar, me propozimin e Ministrit të Punëve Publike, Transportit dhe Telekomunikacionit, Këshilli i Ministrave                                   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2827F1" w:rsidRPr="00324519" w:rsidRDefault="002827F1" w:rsidP="002827F1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1. </w:t>
      </w:r>
      <w:r w:rsidRPr="00324519">
        <w:rPr>
          <w:sz w:val="21"/>
          <w:szCs w:val="21"/>
        </w:rPr>
        <w:t>Në pikën 3 të vendimit nr.84, datë 3.2.2008 të Këshillit të Ministrave, të bëhen shtesat, si më poshtë vijon:  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a) Sipërfaqes së tokës/truall, 18 092 (tetëmbëdhjetë mijë e nëntëdhjetë e dy) m</w:t>
      </w:r>
      <w:r w:rsidRPr="00324519">
        <w:rPr>
          <w:sz w:val="21"/>
          <w:szCs w:val="21"/>
          <w:vertAlign w:val="superscript"/>
        </w:rPr>
        <w:t>2</w:t>
      </w:r>
      <w:r w:rsidRPr="00324519">
        <w:rPr>
          <w:sz w:val="21"/>
          <w:szCs w:val="21"/>
        </w:rPr>
        <w:t>, i shtohet sipërfaqja 1 238 (një mijë e dyqind e tridhjetë e tetë) m</w:t>
      </w:r>
      <w:r w:rsidRPr="00324519">
        <w:rPr>
          <w:sz w:val="21"/>
          <w:szCs w:val="21"/>
          <w:vertAlign w:val="superscript"/>
        </w:rPr>
        <w:t>2</w:t>
      </w:r>
      <w:r w:rsidRPr="00324519">
        <w:rPr>
          <w:sz w:val="21"/>
          <w:szCs w:val="21"/>
        </w:rPr>
        <w:t>.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b) Vlerës së tokës/truall, 47 647 100 (dyzet e shtatë milionë e gjashtëqind e dyzet e shtatë mijë e njëqind) lekë, i shtohet vlera 6 820 142 (gjashtë milionë e tetëqind e njëzet mijë e njëqind e dyzet e dy) lekë.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 c) Vlerës së objekteve, 110 977 628.7 (njëqind e dhjetë milionë e nëntëqind e shtatëdhjetë e shtatë mijë e gjashtëqind e njëzet e tetë pikë shtatë) lekë, i shtohet edhe vlera 15 555 968 (pesëmbëdhjetë milionë e pesëqind e pesëdhjetë e pesë mijë e nëntëqind e gjashtëdhjetë e tetë) lekë.  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ç) Vlerës së përgjithshme të shpronësimit, prej 320 103 926.7 (treqind e njëzet milionë e njëqind e tre mijë e nëntëqind e njëzet e gjashtë pikë shtatë) lekësh, i shtohet edhe vlera  22 376 110 (njëzet e dy milionë e treqind e shtatëdhjetë e gjashtë mijë e njëqind e dhjetë) lekë.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2. </w:t>
      </w:r>
      <w:r w:rsidRPr="00324519">
        <w:rPr>
          <w:sz w:val="21"/>
          <w:szCs w:val="21"/>
        </w:rPr>
        <w:t>Pronarët e pasurive të paluajtshme, që shpronësohen, të kompensohen në vlerë të plotë, sipas masës përkatëse, që paraqitet në tabelën, që i bashkëlidhet këtij vendimi. 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3. </w:t>
      </w:r>
      <w:r w:rsidRPr="00324519">
        <w:rPr>
          <w:sz w:val="21"/>
          <w:szCs w:val="21"/>
        </w:rPr>
        <w:t xml:space="preserve">Shpronësimi shtesë të fillojë më 10.3.2009 dhe të përfundojë më 10.5.2009. 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4. </w:t>
      </w:r>
      <w:r w:rsidRPr="00324519">
        <w:rPr>
          <w:sz w:val="21"/>
          <w:szCs w:val="21"/>
        </w:rPr>
        <w:t>Pronarët, për të cilët është bërë shënimi “Konfirmim ZRPP”, të kompensohen, për efekt shpronësimi, pasi të kenë paraqitur dokumentacionin e plotë të pronësisë, pranë Drejtorisë së Përgjithshme të Rrugëve. Pronarët e objekteve, përveç dokumentacionit të pronësisë, duhet të paraqesin edhe dokumentacionin tekniko-ligjor. 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5. </w:t>
      </w:r>
      <w:r w:rsidRPr="00324519">
        <w:rPr>
          <w:sz w:val="21"/>
          <w:szCs w:val="21"/>
        </w:rPr>
        <w:t>Drejtoria e Përgjithshme e Rrugëve të bëjë likuidimin e pronarëve brenda afateve të përcaktuara në pikën 3 të këtij vendimi, në bazë të dokumentacionit të pronësisë. 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Për objektet, Drejtoria e Përgjithshme e Rrugëve të bëjë likuidimin e pronarëve në bazë të dokumentacionit ligjor të pronësisë dhe në bazë të dokumentacionit tekniko-ligjor. 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6. </w:t>
      </w:r>
      <w:r w:rsidRPr="00324519">
        <w:rPr>
          <w:sz w:val="21"/>
          <w:szCs w:val="21"/>
        </w:rPr>
        <w:t>Ngarkohen Ministria e Punëve Publike, Transportit dhe Telekomunikacionit, Ministria e Financave dhe Drejtoria e Përgjithshme e Rrugëve për zbatimin e këtij vendimi.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2827F1" w:rsidRPr="00324519" w:rsidRDefault="002827F1" w:rsidP="002827F1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KRYEMINISTRI </w:t>
      </w:r>
    </w:p>
    <w:p w:rsidR="002827F1" w:rsidRPr="00324519" w:rsidRDefault="002827F1" w:rsidP="002827F1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Sali  Berisha</w:t>
      </w:r>
    </w:p>
    <w:p w:rsidR="002827F1" w:rsidRPr="00324519" w:rsidRDefault="002827F1" w:rsidP="002827F1">
      <w:pPr>
        <w:pStyle w:val="Paragrafi0"/>
        <w:rPr>
          <w:sz w:val="21"/>
          <w:szCs w:val="21"/>
        </w:rPr>
        <w:sectPr w:rsidR="002827F1" w:rsidRPr="00324519" w:rsidSect="002827F1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2827F1" w:rsidRPr="00324519" w:rsidRDefault="002827F1" w:rsidP="002827F1">
      <w:pPr>
        <w:pStyle w:val="Paragrafi0"/>
        <w:rPr>
          <w:sz w:val="21"/>
          <w:szCs w:val="21"/>
        </w:rPr>
      </w:pP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REPUBLIKA E SHQIPËRISË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MINISTRIA </w:t>
      </w:r>
      <w:smartTag w:uri="urn:schemas-microsoft-com:office:smarttags" w:element="place">
        <w:r w:rsidRPr="00324519">
          <w:rPr>
            <w:sz w:val="21"/>
            <w:szCs w:val="21"/>
          </w:rPr>
          <w:t>E PUNËVE</w:t>
        </w:r>
      </w:smartTag>
      <w:r w:rsidRPr="00324519">
        <w:rPr>
          <w:sz w:val="21"/>
          <w:szCs w:val="21"/>
        </w:rPr>
        <w:t xml:space="preserve"> PUBLIKE, TRANSPORTIT DHE TELEKOMUNIKACIONIT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Qarku: Kukës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Bashkia: Kukës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Qyteti: Kukës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LISTA E PRONARËVE QË PREKEKN NGA KORRIDORI DURRËS-MORINË (SEKSIONI KALIMASH-MORINË)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Lloji i pasurisë së patundshme: truall dhe objekt</w:t>
      </w:r>
    </w:p>
    <w:p w:rsidR="002827F1" w:rsidRPr="00324519" w:rsidRDefault="002827F1" w:rsidP="002827F1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0"/>
        <w:gridCol w:w="838"/>
        <w:gridCol w:w="883"/>
        <w:gridCol w:w="1010"/>
        <w:gridCol w:w="716"/>
        <w:gridCol w:w="1080"/>
        <w:gridCol w:w="849"/>
        <w:gridCol w:w="1237"/>
        <w:gridCol w:w="1080"/>
        <w:gridCol w:w="1161"/>
        <w:gridCol w:w="1080"/>
        <w:gridCol w:w="2160"/>
      </w:tblGrid>
      <w:tr w:rsidR="002827F1" w:rsidRPr="002827F1" w:rsidTr="002827F1">
        <w:tc>
          <w:tcPr>
            <w:tcW w:w="530" w:type="dxa"/>
            <w:vMerge w:val="restart"/>
            <w:vAlign w:val="center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2731" w:type="dxa"/>
            <w:gridSpan w:val="3"/>
            <w:vAlign w:val="center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Pronari</w:t>
            </w:r>
          </w:p>
        </w:tc>
        <w:tc>
          <w:tcPr>
            <w:tcW w:w="716" w:type="dxa"/>
            <w:vMerge w:val="restart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ZK</w:t>
            </w:r>
          </w:p>
        </w:tc>
        <w:tc>
          <w:tcPr>
            <w:tcW w:w="1080" w:type="dxa"/>
            <w:vMerge w:val="restart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Nr. pas.</w:t>
            </w:r>
          </w:p>
        </w:tc>
        <w:tc>
          <w:tcPr>
            <w:tcW w:w="3166" w:type="dxa"/>
            <w:gridSpan w:val="3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Tokë truall</w:t>
            </w:r>
          </w:p>
        </w:tc>
        <w:tc>
          <w:tcPr>
            <w:tcW w:w="1161" w:type="dxa"/>
            <w:vMerge w:val="restart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Objekt,</w:t>
            </w: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vlera</w:t>
            </w: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1080" w:type="dxa"/>
            <w:vMerge w:val="restart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Vlera</w:t>
            </w: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totale,</w:t>
            </w: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2160" w:type="dxa"/>
            <w:vMerge w:val="restart"/>
            <w:vAlign w:val="center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Shënime</w:t>
            </w:r>
          </w:p>
        </w:tc>
      </w:tr>
      <w:tr w:rsidR="002827F1" w:rsidRPr="002827F1" w:rsidTr="002827F1">
        <w:trPr>
          <w:trHeight w:val="460"/>
        </w:trPr>
        <w:tc>
          <w:tcPr>
            <w:tcW w:w="530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Sip.m</w:t>
            </w:r>
            <w:r w:rsidRPr="002827F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Çmimi m</w:t>
            </w:r>
            <w:r w:rsidRPr="002827F1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Vlera</w:t>
            </w:r>
          </w:p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1161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</w:tr>
      <w:tr w:rsidR="002827F1" w:rsidRPr="002827F1" w:rsidTr="002827F1">
        <w:tc>
          <w:tcPr>
            <w:tcW w:w="53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Zaim</w:t>
            </w:r>
          </w:p>
        </w:tc>
        <w:tc>
          <w:tcPr>
            <w:tcW w:w="883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Veli</w:t>
            </w:r>
          </w:p>
        </w:tc>
        <w:tc>
          <w:tcPr>
            <w:tcW w:w="101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Cenaj</w:t>
            </w:r>
          </w:p>
        </w:tc>
        <w:tc>
          <w:tcPr>
            <w:tcW w:w="716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2315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41/27</w:t>
            </w:r>
          </w:p>
        </w:tc>
        <w:tc>
          <w:tcPr>
            <w:tcW w:w="849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139</w:t>
            </w:r>
          </w:p>
        </w:tc>
        <w:tc>
          <w:tcPr>
            <w:tcW w:w="1237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5509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765751</w:t>
            </w:r>
          </w:p>
        </w:tc>
        <w:tc>
          <w:tcPr>
            <w:tcW w:w="1161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4295400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5061151</w:t>
            </w:r>
          </w:p>
        </w:tc>
        <w:tc>
          <w:tcPr>
            <w:tcW w:w="216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Konfirmuar nga ZRPP</w:t>
            </w:r>
          </w:p>
        </w:tc>
      </w:tr>
      <w:tr w:rsidR="002827F1" w:rsidRPr="002827F1" w:rsidTr="002827F1">
        <w:tc>
          <w:tcPr>
            <w:tcW w:w="53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</w:t>
            </w:r>
          </w:p>
        </w:tc>
        <w:tc>
          <w:tcPr>
            <w:tcW w:w="838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Tasim</w:t>
            </w:r>
          </w:p>
        </w:tc>
        <w:tc>
          <w:tcPr>
            <w:tcW w:w="883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Ahmet</w:t>
            </w:r>
          </w:p>
        </w:tc>
        <w:tc>
          <w:tcPr>
            <w:tcW w:w="101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Cenaj</w:t>
            </w:r>
          </w:p>
        </w:tc>
        <w:tc>
          <w:tcPr>
            <w:tcW w:w="716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2315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41/26</w:t>
            </w:r>
          </w:p>
        </w:tc>
        <w:tc>
          <w:tcPr>
            <w:tcW w:w="849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500</w:t>
            </w:r>
          </w:p>
        </w:tc>
        <w:tc>
          <w:tcPr>
            <w:tcW w:w="1237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5509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2754500</w:t>
            </w:r>
          </w:p>
        </w:tc>
        <w:tc>
          <w:tcPr>
            <w:tcW w:w="1161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2612734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5367234</w:t>
            </w:r>
          </w:p>
        </w:tc>
        <w:tc>
          <w:tcPr>
            <w:tcW w:w="216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Konfirmuar nga ZRPP</w:t>
            </w:r>
          </w:p>
        </w:tc>
      </w:tr>
      <w:tr w:rsidR="002827F1" w:rsidRPr="002827F1" w:rsidTr="002827F1">
        <w:tc>
          <w:tcPr>
            <w:tcW w:w="53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3</w:t>
            </w:r>
          </w:p>
        </w:tc>
        <w:tc>
          <w:tcPr>
            <w:tcW w:w="838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Haxhi</w:t>
            </w:r>
          </w:p>
        </w:tc>
        <w:tc>
          <w:tcPr>
            <w:tcW w:w="883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Nuhi</w:t>
            </w:r>
          </w:p>
        </w:tc>
        <w:tc>
          <w:tcPr>
            <w:tcW w:w="101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Cenaj</w:t>
            </w:r>
          </w:p>
        </w:tc>
        <w:tc>
          <w:tcPr>
            <w:tcW w:w="716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2315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41/25</w:t>
            </w:r>
          </w:p>
        </w:tc>
        <w:tc>
          <w:tcPr>
            <w:tcW w:w="849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358</w:t>
            </w:r>
          </w:p>
        </w:tc>
        <w:tc>
          <w:tcPr>
            <w:tcW w:w="1237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5509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1972222</w:t>
            </w:r>
          </w:p>
        </w:tc>
        <w:tc>
          <w:tcPr>
            <w:tcW w:w="1161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5358736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7330958</w:t>
            </w:r>
          </w:p>
        </w:tc>
        <w:tc>
          <w:tcPr>
            <w:tcW w:w="216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Konfirmuar nga ZRPP</w:t>
            </w:r>
          </w:p>
        </w:tc>
      </w:tr>
      <w:tr w:rsidR="002827F1" w:rsidRPr="002827F1" w:rsidTr="002827F1">
        <w:tc>
          <w:tcPr>
            <w:tcW w:w="53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</w:t>
            </w:r>
          </w:p>
        </w:tc>
        <w:tc>
          <w:tcPr>
            <w:tcW w:w="838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Isuf</w:t>
            </w:r>
          </w:p>
        </w:tc>
        <w:tc>
          <w:tcPr>
            <w:tcW w:w="883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Sali</w:t>
            </w:r>
          </w:p>
        </w:tc>
        <w:tc>
          <w:tcPr>
            <w:tcW w:w="101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Cenaj</w:t>
            </w:r>
          </w:p>
        </w:tc>
        <w:tc>
          <w:tcPr>
            <w:tcW w:w="716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2315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41/11</w:t>
            </w:r>
          </w:p>
        </w:tc>
        <w:tc>
          <w:tcPr>
            <w:tcW w:w="849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241</w:t>
            </w:r>
          </w:p>
        </w:tc>
        <w:tc>
          <w:tcPr>
            <w:tcW w:w="1237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5509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1327669</w:t>
            </w:r>
          </w:p>
        </w:tc>
        <w:tc>
          <w:tcPr>
            <w:tcW w:w="1161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3289098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4616767</w:t>
            </w:r>
          </w:p>
        </w:tc>
        <w:tc>
          <w:tcPr>
            <w:tcW w:w="216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  <w:r w:rsidRPr="002827F1">
              <w:rPr>
                <w:sz w:val="18"/>
                <w:szCs w:val="18"/>
              </w:rPr>
              <w:t>Konfirmuar nga ZRPP</w:t>
            </w:r>
          </w:p>
        </w:tc>
      </w:tr>
      <w:tr w:rsidR="002827F1" w:rsidRPr="002827F1" w:rsidTr="002827F1">
        <w:tc>
          <w:tcPr>
            <w:tcW w:w="53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31" w:type="dxa"/>
            <w:gridSpan w:val="3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716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1238</w:t>
            </w:r>
          </w:p>
        </w:tc>
        <w:tc>
          <w:tcPr>
            <w:tcW w:w="1237" w:type="dxa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6820142</w:t>
            </w:r>
          </w:p>
        </w:tc>
        <w:tc>
          <w:tcPr>
            <w:tcW w:w="1161" w:type="dxa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15555968</w:t>
            </w:r>
          </w:p>
        </w:tc>
        <w:tc>
          <w:tcPr>
            <w:tcW w:w="1080" w:type="dxa"/>
          </w:tcPr>
          <w:p w:rsidR="002827F1" w:rsidRPr="002827F1" w:rsidRDefault="002827F1" w:rsidP="002827F1">
            <w:pPr>
              <w:pStyle w:val="Tabele"/>
              <w:rPr>
                <w:b/>
                <w:sz w:val="18"/>
                <w:szCs w:val="18"/>
              </w:rPr>
            </w:pPr>
            <w:r w:rsidRPr="002827F1">
              <w:rPr>
                <w:b/>
                <w:sz w:val="18"/>
                <w:szCs w:val="18"/>
              </w:rPr>
              <w:t>22376110</w:t>
            </w:r>
          </w:p>
        </w:tc>
        <w:tc>
          <w:tcPr>
            <w:tcW w:w="2160" w:type="dxa"/>
          </w:tcPr>
          <w:p w:rsidR="002827F1" w:rsidRPr="002827F1" w:rsidRDefault="002827F1" w:rsidP="002827F1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2827F1" w:rsidRDefault="002827F1" w:rsidP="002827F1">
      <w:pPr>
        <w:pStyle w:val="Paragrafi0"/>
        <w:rPr>
          <w:sz w:val="21"/>
          <w:szCs w:val="21"/>
        </w:rPr>
        <w:sectPr w:rsidR="002827F1" w:rsidSect="002827F1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2827F1" w:rsidRPr="00324519" w:rsidRDefault="002827F1" w:rsidP="002827F1">
      <w:pPr>
        <w:pStyle w:val="Paragrafi0"/>
      </w:pPr>
    </w:p>
    <w:sectPr w:rsidR="002827F1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6089">
      <w:r>
        <w:separator/>
      </w:r>
    </w:p>
  </w:endnote>
  <w:endnote w:type="continuationSeparator" w:id="0">
    <w:p w:rsidR="00000000" w:rsidRDefault="00D1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6089">
      <w:r>
        <w:separator/>
      </w:r>
    </w:p>
  </w:footnote>
  <w:footnote w:type="continuationSeparator" w:id="0">
    <w:p w:rsidR="00000000" w:rsidRDefault="00D16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27F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27F1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16089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DD63AB-29E8-4DD5-A998-821EF76C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7F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2827F1"/>
    <w:pPr>
      <w:spacing w:after="160" w:line="240" w:lineRule="exact"/>
    </w:pPr>
    <w:rPr>
      <w:rFonts w:ascii="Tahoma" w:eastAsia="MS Mincho" w:hAnsi="Tahoma"/>
      <w:sz w:val="20"/>
      <w:szCs w:val="20"/>
    </w:rPr>
  </w:style>
  <w:style w:type="table" w:styleId="TableGrid">
    <w:name w:val="Table Grid"/>
    <w:basedOn w:val="TableNormal"/>
    <w:rsid w:val="00282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2827F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