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AD4" w:rsidRPr="00172B33" w:rsidRDefault="008E0AD4" w:rsidP="008E0AD4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8E0AD4" w:rsidRPr="00172B33" w:rsidRDefault="008E0AD4" w:rsidP="008E0AD4">
      <w:pPr>
        <w:pStyle w:val="NumriData"/>
        <w:keepNext w:val="0"/>
        <w:rPr>
          <w:szCs w:val="22"/>
        </w:rPr>
      </w:pPr>
      <w:r w:rsidRPr="00172B33">
        <w:rPr>
          <w:szCs w:val="22"/>
        </w:rPr>
        <w:t>Nr.266, datë 18.3.2009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E0AD4" w:rsidRPr="00172B33" w:rsidRDefault="008E0AD4" w:rsidP="008E0AD4">
      <w:pPr>
        <w:pStyle w:val="Titulli0"/>
        <w:keepNext w:val="0"/>
      </w:pPr>
      <w:r w:rsidRPr="00172B33">
        <w:t>PËR SHPRONËSIMIN, PËR INTERES PUBLIK, TË PRONARËVE TË PASURIVE TË PALUAJTSHME, PRONË PRIVATE,  QË PREKEN NGA NDËRTIMI I SEGMENTIT RRUGOR “UNAZA SHKODËR”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E0AD4" w:rsidRPr="00172B33" w:rsidRDefault="008E0AD4" w:rsidP="008E0AD4">
      <w:pPr>
        <w:pStyle w:val="BazLigjPropozues"/>
        <w:keepNext w:val="0"/>
      </w:pPr>
      <w:r w:rsidRPr="00172B33">
        <w:t>Në mbështetje të nenit 100 të Kushtetutës, të neneve 5, pika 1, 20 e 21 të  ligjit nr.8561, datë 22.12.1999 “Për shpronësimet dhe marrjen në përdorim të përkohshëm të pasurisë, pronë private, për interes publik”  dhe të nenit 8 të ligjit nr.9636, datë 26.11.2007 “Për Buxhetin e Shtetit të vitit 2008”, të ndryshuar, me propozimin e Ministrit të Punëve Publike, Transportit dhe Telekomunikacionit, Këshilli i Ministrave                                  </w:t>
      </w:r>
    </w:p>
    <w:p w:rsidR="008E0AD4" w:rsidRPr="00172B33" w:rsidRDefault="008E0AD4" w:rsidP="008E0AD4">
      <w:pPr>
        <w:pStyle w:val="Paragrafi0"/>
        <w:rPr>
          <w:szCs w:val="22"/>
        </w:rPr>
      </w:pPr>
    </w:p>
    <w:p w:rsidR="008E0AD4" w:rsidRPr="00172B33" w:rsidRDefault="008E0AD4" w:rsidP="008E0AD4">
      <w:pPr>
        <w:pStyle w:val="VENDOSI0"/>
        <w:keepNext w:val="0"/>
      </w:pPr>
      <w:r w:rsidRPr="00172B33">
        <w:t>VENDOSI: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1. Shpronësimin, për interes publik, të pronarëve të pasurive të paluajtshme, pronë private, që preken nga ndërtimi i segmentit rrugor “Unaza Shkodër”.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2. Shpronësimi të bëhet në favor të Drejtorisë së Përgjithshme të Rrugëve.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3. Pronarët e pasurive të paluajtshme, që shpronësohen, të kompensohen në vlerë të plotë, sipas masës përkatëse, që paraqitet në tabelën që i bashkëlidhet këtij vendimi, për objektet, me vlerë të përgjithshme  shpronësimi 47 826 458 (dyzet e shtatë milionë e tetëqind e njëzet e gjashtë mijë e katërqind e pesëdhjetë e tetë) lekë.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4. Ky fond të përballohet nga llogaria e veçantë e Ministrisë së Financave, në Bankën e Shqipërisë, “Fondi i shpronësimeve”.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5. Shpronësimi të fillojë më 18.3.2009 dhe të përfundojë më 30.6.2009.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6. Pronarët e përcaktuar në listën që i bashkëlidhet këtij vendimi, për të cilët është bërë shënimi “Konfirmimi ZRPP”, të kompensohen, për efekt shpronësimi, pasi të kenë paraqitur dokumentacionin e plotë të pronësisë pranë Drejtorisë së Përgjithshme të Rrugëve.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7. Drejtoria e Përgjithshme e Rrugëve të kryejë verifikimet e nevojshme, për përputhshmërinë e objekteve, të cilat preken, me numrat e pasurive në pronësi të pronarëve, që shpronësohen.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8. Ngarkohen Ministria e Punëve Publike, Transportit dhe Telekomunikacionit, Ministria e Financave dhe Drejtoria e Përgjithshme e Rrugëve për zbatimin e këtij vendimi.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 Ky vendim hyn në fuqi menjëherë dhe botohet në Fletoren Zyrtare.</w:t>
      </w:r>
    </w:p>
    <w:p w:rsidR="008E0AD4" w:rsidRPr="00172B33" w:rsidRDefault="008E0AD4" w:rsidP="008E0AD4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E0AD4" w:rsidRPr="00172B33" w:rsidRDefault="008E0AD4" w:rsidP="008E0AD4">
      <w:pPr>
        <w:pStyle w:val="Autoriteti"/>
        <w:keepNext w:val="0"/>
      </w:pPr>
      <w:r w:rsidRPr="00172B33">
        <w:t>KRYEMINISTRI</w:t>
      </w:r>
    </w:p>
    <w:p w:rsidR="008E0AD4" w:rsidRPr="00172B33" w:rsidRDefault="008E0AD4" w:rsidP="008E0AD4">
      <w:pPr>
        <w:pStyle w:val="AutoritetiEmer"/>
      </w:pPr>
      <w:r w:rsidRPr="00172B33">
        <w:t> Sali  Berisha</w:t>
      </w:r>
    </w:p>
    <w:p w:rsidR="008E0AD4" w:rsidRPr="00A50E7F" w:rsidRDefault="008E0AD4" w:rsidP="00A50E7F">
      <w:pPr>
        <w:pStyle w:val="Tabele"/>
        <w:rPr>
          <w:sz w:val="16"/>
        </w:rPr>
      </w:pPr>
    </w:p>
    <w:p w:rsidR="008E0AD4" w:rsidRPr="00A50E7F" w:rsidRDefault="008E0AD4" w:rsidP="00A50E7F">
      <w:pPr>
        <w:pStyle w:val="Tabele"/>
        <w:rPr>
          <w:sz w:val="16"/>
        </w:rPr>
      </w:pPr>
    </w:p>
    <w:p w:rsidR="008E0AD4" w:rsidRPr="00A50E7F" w:rsidRDefault="008E0AD4" w:rsidP="00A50E7F">
      <w:pPr>
        <w:pStyle w:val="Tabele"/>
        <w:rPr>
          <w:sz w:val="16"/>
        </w:rPr>
        <w:sectPr w:rsidR="008E0AD4" w:rsidRPr="00A50E7F" w:rsidSect="008E0AD4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453"/>
          <w:cols w:space="720"/>
          <w:docGrid w:linePitch="360"/>
        </w:sect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  <w:r w:rsidRPr="008E0AD4">
        <w:rPr>
          <w:sz w:val="16"/>
          <w:szCs w:val="16"/>
        </w:rPr>
        <w:t>Lista e objekteve që duhet të shpronësohen, të cilat preken nga ndërtimi i segmentit rrugor  “Unaza Shkodër”</w:t>
      </w: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tbl>
      <w:tblPr>
        <w:tblStyle w:val="TableGrid"/>
        <w:tblW w:w="13412" w:type="dxa"/>
        <w:jc w:val="center"/>
        <w:tblLook w:val="01E0" w:firstRow="1" w:lastRow="1" w:firstColumn="1" w:lastColumn="1" w:noHBand="0" w:noVBand="0"/>
      </w:tblPr>
      <w:tblGrid>
        <w:gridCol w:w="530"/>
        <w:gridCol w:w="2472"/>
        <w:gridCol w:w="1908"/>
        <w:gridCol w:w="1263"/>
        <w:gridCol w:w="1290"/>
        <w:gridCol w:w="1396"/>
        <w:gridCol w:w="1822"/>
        <w:gridCol w:w="1214"/>
        <w:gridCol w:w="1517"/>
      </w:tblGrid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Nr.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Emri i objektit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Emri pronarit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Zona kadastrale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Nr.pasurisë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Sip. e ndërtimit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Çmimi për m</w:t>
            </w:r>
            <w:r w:rsidRPr="008E0AD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Vlera e llogaritur (lek)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 xml:space="preserve">Shënime 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Familja Hoxha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8591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3/301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75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3290250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2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Kujtim Ferhati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6/761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98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4299260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2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8E0AD4">
                  <w:rPr>
                    <w:sz w:val="16"/>
                    <w:szCs w:val="16"/>
                  </w:rPr>
                  <w:t>Mersin</w:t>
                </w:r>
              </w:smartTag>
            </w:smartTag>
            <w:r w:rsidRPr="008E0AD4">
              <w:rPr>
                <w:sz w:val="16"/>
                <w:szCs w:val="16"/>
              </w:rPr>
              <w:t xml:space="preserve"> Jahja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6/308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183.5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8050145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Shefqet Kruja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6/739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56.3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2469881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 + bodrum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Medi Duda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6/616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114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5001180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 + bodrum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Mithat Duda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6/700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88.7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3891269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7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 +dyqan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Ahmet Osja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13/343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94.9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4163263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Xhavit Jakupi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13/375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120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5264400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9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Selaudin Jakupi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13/373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33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1447710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10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Dyqan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Petrit Barbullushi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5891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8/435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28.6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43870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1254682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11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Fadil Pirani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8592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5/89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92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41481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3816252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12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 xml:space="preserve">Garazh 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Smajl Shyti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8592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7/77,529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32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41481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1327392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13</w:t>
            </w: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Shtëpi banimi 1 kate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Tefik Pirani</w:t>
            </w: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8592</w:t>
            </w: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5/217</w:t>
            </w: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85.6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41481</w:t>
            </w: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3550774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sz w:val="16"/>
                <w:szCs w:val="16"/>
              </w:rPr>
            </w:pPr>
            <w:r w:rsidRPr="008E0AD4">
              <w:rPr>
                <w:sz w:val="16"/>
                <w:szCs w:val="16"/>
              </w:rPr>
              <w:t>Konf.ZVRPP</w:t>
            </w:r>
          </w:p>
        </w:tc>
      </w:tr>
      <w:tr w:rsidR="008E0AD4" w:rsidRPr="008E0AD4" w:rsidTr="008E0AD4">
        <w:trPr>
          <w:jc w:val="center"/>
        </w:trPr>
        <w:tc>
          <w:tcPr>
            <w:tcW w:w="530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472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  <w:r w:rsidRPr="008E0AD4">
              <w:rPr>
                <w:b/>
                <w:sz w:val="16"/>
                <w:szCs w:val="16"/>
              </w:rPr>
              <w:t xml:space="preserve">Shuma </w:t>
            </w:r>
          </w:p>
        </w:tc>
        <w:tc>
          <w:tcPr>
            <w:tcW w:w="1908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63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90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396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  <w:r w:rsidRPr="008E0AD4">
              <w:rPr>
                <w:b/>
                <w:sz w:val="16"/>
                <w:szCs w:val="16"/>
              </w:rPr>
              <w:t>1101.6</w:t>
            </w:r>
          </w:p>
        </w:tc>
        <w:tc>
          <w:tcPr>
            <w:tcW w:w="1822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14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  <w:r w:rsidRPr="008E0AD4">
              <w:rPr>
                <w:b/>
                <w:sz w:val="16"/>
                <w:szCs w:val="16"/>
              </w:rPr>
              <w:t>47826458</w:t>
            </w:r>
          </w:p>
        </w:tc>
        <w:tc>
          <w:tcPr>
            <w:tcW w:w="1517" w:type="dxa"/>
          </w:tcPr>
          <w:p w:rsidR="008E0AD4" w:rsidRPr="008E0AD4" w:rsidRDefault="008E0AD4" w:rsidP="008E0AD4">
            <w:pPr>
              <w:pStyle w:val="Tabele"/>
              <w:rPr>
                <w:b/>
                <w:sz w:val="16"/>
                <w:szCs w:val="16"/>
              </w:rPr>
            </w:pPr>
          </w:p>
        </w:tc>
      </w:tr>
    </w:tbl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8E0AD4" w:rsidRDefault="008E0AD4" w:rsidP="008E0AD4">
      <w:pPr>
        <w:pStyle w:val="Tabele"/>
        <w:rPr>
          <w:sz w:val="16"/>
          <w:szCs w:val="16"/>
        </w:rPr>
      </w:pPr>
    </w:p>
    <w:p w:rsidR="008E0AD4" w:rsidRPr="00A50E7F" w:rsidRDefault="008E0AD4" w:rsidP="00A50E7F">
      <w:pPr>
        <w:pStyle w:val="Tabele"/>
        <w:rPr>
          <w:sz w:val="16"/>
        </w:rPr>
        <w:sectPr w:rsidR="008E0AD4" w:rsidRPr="00A50E7F" w:rsidSect="008E0AD4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8E0AD4" w:rsidRPr="00172B33" w:rsidRDefault="008E0AD4" w:rsidP="008E0AD4">
      <w:pPr>
        <w:widowControl w:val="0"/>
        <w:rPr>
          <w:sz w:val="22"/>
          <w:szCs w:val="22"/>
        </w:rPr>
      </w:pPr>
    </w:p>
    <w:sectPr w:rsidR="008E0AD4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294F">
      <w:r>
        <w:separator/>
      </w:r>
    </w:p>
  </w:endnote>
  <w:endnote w:type="continuationSeparator" w:id="0">
    <w:p w:rsidR="00000000" w:rsidRDefault="006A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E7F" w:rsidRDefault="00A50E7F" w:rsidP="008E0A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0E7F" w:rsidRDefault="00A50E7F" w:rsidP="008E0AD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E7F" w:rsidRDefault="00A50E7F" w:rsidP="008E0A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2453</w:t>
    </w:r>
    <w:r>
      <w:rPr>
        <w:rStyle w:val="PageNumber"/>
      </w:rPr>
      <w:fldChar w:fldCharType="end"/>
    </w:r>
  </w:p>
  <w:p w:rsidR="00A50E7F" w:rsidRDefault="00A50E7F" w:rsidP="008E0AD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294F">
      <w:r>
        <w:separator/>
      </w:r>
    </w:p>
  </w:footnote>
  <w:footnote w:type="continuationSeparator" w:id="0">
    <w:p w:rsidR="00000000" w:rsidRDefault="006A2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0AD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294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0AD4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0E7F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3E3BFC-777C-4F9D-8333-4176D0D0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AD4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8E0A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0AD4"/>
  </w:style>
  <w:style w:type="character" w:customStyle="1" w:styleId="ParagrafiChar">
    <w:name w:val="Paragrafi Char"/>
    <w:basedOn w:val="DefaultParagraphFont"/>
    <w:link w:val="Paragrafi0"/>
    <w:rsid w:val="008E0AD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E0AD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E0AD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