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2EC" w:rsidRPr="00172B33" w:rsidRDefault="002472EC" w:rsidP="002472EC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2472EC" w:rsidRPr="00172B33" w:rsidRDefault="002472EC" w:rsidP="002472EC">
      <w:pPr>
        <w:pStyle w:val="NumriData"/>
        <w:keepNext w:val="0"/>
        <w:rPr>
          <w:szCs w:val="22"/>
        </w:rPr>
      </w:pPr>
      <w:r w:rsidRPr="00172B33">
        <w:rPr>
          <w:szCs w:val="22"/>
        </w:rPr>
        <w:t>Nr.283, datë 18.3.2009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2472EC" w:rsidRPr="00172B33" w:rsidRDefault="002472EC" w:rsidP="002472EC">
      <w:pPr>
        <w:pStyle w:val="Titulli0"/>
        <w:keepNext w:val="0"/>
      </w:pPr>
      <w:r w:rsidRPr="00172B33">
        <w:t>PËR SHPRONËSIMIN, PËR INTERES PUBLIK, TË PRONARËVE TË PASURIVE TË PALUAJTSHME, PRONË PRIVATE, QË PREKEN NGA NDËRTIMI I SEGMENTIT RRUGOR LAÇ-KISHA E SHËN NDOUT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2472EC" w:rsidRPr="00172B33" w:rsidRDefault="002472EC" w:rsidP="002472EC">
      <w:pPr>
        <w:pStyle w:val="BazLigjPropozues"/>
        <w:keepNext w:val="0"/>
      </w:pPr>
      <w:r w:rsidRPr="00172B33">
        <w:t>Në mbështetje të nenit 100 të Kushtetutës, të neneve 5, pika 1, 20 e 21, të  ligjit nr.8561, datë 22.12.1999 “Për shpronësimet dhe marrjen në përdorim të përkohshëm të pasurisë, pronë private, për interes publik”, të ndryshuar,  dhe të nenit 8 të ligjit nr.9836, datë 26.11.2007 “Për Buxhetin e Shtetit të vitit 2008”, të ndryshuar, me propozimin e Ministrit të Punëve Publike, Transportit dhe Telekomunikacionit,  Këshilli i Ministrave        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szCs w:val="22"/>
        </w:rPr>
        <w:t xml:space="preserve">                           </w:t>
      </w:r>
    </w:p>
    <w:p w:rsidR="002472EC" w:rsidRPr="00172B33" w:rsidRDefault="002472EC" w:rsidP="002472EC">
      <w:pPr>
        <w:pStyle w:val="VENDOSI0"/>
        <w:keepNext w:val="0"/>
      </w:pPr>
      <w:r w:rsidRPr="00172B33">
        <w:t>VENDOSI: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1. </w:t>
      </w:r>
      <w:r w:rsidRPr="00172B33">
        <w:rPr>
          <w:szCs w:val="22"/>
        </w:rPr>
        <w:t>Shpronësimin, për interes publik, të pronarëve të pasurive të paluajtshme, pronë private, që preken nga ndërtimi i segmentit rrugor Laç-Kisha e Shën Ndout.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2. </w:t>
      </w:r>
      <w:r w:rsidRPr="00172B33">
        <w:rPr>
          <w:szCs w:val="22"/>
        </w:rPr>
        <w:t>Shpronësimi bëhet në favor të Drejtorisë së Përgjithshme të Rrugëve. 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3. </w:t>
      </w:r>
      <w:r w:rsidRPr="00172B33">
        <w:rPr>
          <w:szCs w:val="22"/>
        </w:rPr>
        <w:t>Pronarët e pasurive të paluajtshme, që shpronësohen, të kompensohen në vlerë të plotë, sipas masës përkatëse, që paraqitet në tabelën, që i bashkëlidhet këtij vendimi, për sipërfaqen tokë/truall, 244 (dyqind e dyzet e katër) m</w:t>
      </w:r>
      <w:r w:rsidRPr="00172B33">
        <w:rPr>
          <w:szCs w:val="22"/>
          <w:vertAlign w:val="superscript"/>
        </w:rPr>
        <w:t>2</w:t>
      </w:r>
      <w:r w:rsidRPr="00172B33">
        <w:rPr>
          <w:szCs w:val="22"/>
        </w:rPr>
        <w:t xml:space="preserve">, me një vlerë të përgjithshme  shpronësimi 523 136 (pesëqind e njëzet e tre mijë e njëqind e tridhjetë e gjashtë) lekë. 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4. </w:t>
      </w:r>
      <w:r w:rsidRPr="00172B33">
        <w:rPr>
          <w:szCs w:val="22"/>
        </w:rPr>
        <w:t>Ky fond të përballohet nga llogaria e veçantë e Ministrisë së Financave, në Bankën e Shqipërisë, “Fondi i shpronësimeve”.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5. </w:t>
      </w:r>
      <w:r w:rsidRPr="00172B33">
        <w:rPr>
          <w:szCs w:val="22"/>
        </w:rPr>
        <w:t>Shpenzimet procedurale, në vlerën 252 500 (dyqind e pesëdhjetë e dy mijë e pesëqind) lekë të përballohen nga Drejtoria e Përgjithshme e Rrugëve.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6. </w:t>
      </w:r>
      <w:r w:rsidRPr="00172B33">
        <w:rPr>
          <w:szCs w:val="22"/>
        </w:rPr>
        <w:t>Shpronësimi të fillojë më 1.4.2009 dhe të përfundojë më 1.6.2009.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7. </w:t>
      </w:r>
      <w:r w:rsidRPr="00172B33">
        <w:rPr>
          <w:szCs w:val="22"/>
        </w:rPr>
        <w:t>Pronarët e përcaktuar në listën që i bashkëlidhet këtij vendimi, për të cilët është bërë shënimi “Konfirmimi ZRPP”, do të kompensohen, për efekt shpronësimi, pasi të kenë paraqitur dokumentacionin e plotë të pronësisë pranë Drejtorisë së Përgjithshme të Rrugëve.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8. </w:t>
      </w:r>
      <w:r w:rsidRPr="00172B33">
        <w:rPr>
          <w:szCs w:val="22"/>
        </w:rPr>
        <w:t xml:space="preserve">Drejtoria e Përgjithshme e Rrugëve të kryejë verifikimet për përputhshmërinë e sipërfaqeve, të cilat preken, me numrat e pasurive, në pronësi të pronarëve, që shpronësohen. 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9. </w:t>
      </w:r>
      <w:r w:rsidRPr="00172B33">
        <w:rPr>
          <w:szCs w:val="22"/>
        </w:rPr>
        <w:t>Ngarkohen Ministria e Punëve Publike, Transportit dhe Telekomunikacionit, Ministria e Financave dhe Drejtoria e Përgjithshme e Rrugëve për zbatimin e këtij vendimi.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szCs w:val="22"/>
        </w:rPr>
        <w:t>Ky vendim hyn në fuqi menjëherë dhe botohet në Fletoren Zyrtare.</w:t>
      </w:r>
    </w:p>
    <w:p w:rsidR="002472EC" w:rsidRPr="00172B33" w:rsidRDefault="002472EC" w:rsidP="002472EC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2472EC" w:rsidRPr="00172B33" w:rsidRDefault="002472EC" w:rsidP="002472EC">
      <w:pPr>
        <w:pStyle w:val="Autoriteti"/>
        <w:keepNext w:val="0"/>
      </w:pPr>
      <w:r w:rsidRPr="00172B33">
        <w:t>Kryeministri</w:t>
      </w:r>
    </w:p>
    <w:p w:rsidR="002472EC" w:rsidRPr="00172B33" w:rsidRDefault="002472EC" w:rsidP="002472EC">
      <w:pPr>
        <w:pStyle w:val="AutoritetiEmer"/>
      </w:pPr>
      <w:r w:rsidRPr="00172B33">
        <w:t> Sali  Berisha</w:t>
      </w:r>
    </w:p>
    <w:p w:rsidR="002472EC" w:rsidRPr="00172B33" w:rsidRDefault="002472EC" w:rsidP="002472EC">
      <w:pPr>
        <w:pStyle w:val="Paragrafi0"/>
        <w:ind w:firstLine="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Default="002472EC" w:rsidP="002472EC">
      <w:pPr>
        <w:pStyle w:val="Paragrafi0"/>
        <w:rPr>
          <w:szCs w:val="22"/>
        </w:rPr>
      </w:pPr>
    </w:p>
    <w:p w:rsidR="002472EC" w:rsidRPr="00172B33" w:rsidRDefault="002472EC" w:rsidP="002472EC">
      <w:pPr>
        <w:pStyle w:val="Paragrafi0"/>
        <w:rPr>
          <w:szCs w:val="22"/>
        </w:rPr>
      </w:pPr>
    </w:p>
    <w:p w:rsidR="002472EC" w:rsidRPr="00172B33" w:rsidRDefault="002472EC" w:rsidP="002472EC">
      <w:pPr>
        <w:pStyle w:val="TitulliTitull"/>
        <w:keepNext w:val="0"/>
      </w:pPr>
      <w:r w:rsidRPr="00172B33">
        <w:t xml:space="preserve">Lista e pronarëve që shpronësohen nga ndërtimi i segmentit rrugor </w:t>
      </w:r>
    </w:p>
    <w:p w:rsidR="002472EC" w:rsidRPr="00172B33" w:rsidRDefault="002472EC" w:rsidP="002472EC">
      <w:pPr>
        <w:pStyle w:val="TitulliTitull"/>
        <w:keepNext w:val="0"/>
      </w:pPr>
      <w:r w:rsidRPr="00172B33">
        <w:t xml:space="preserve">“Laç-Kisha </w:t>
      </w:r>
      <w:smartTag w:uri="urn:schemas-microsoft-com:office:smarttags" w:element="place">
        <w:r w:rsidRPr="00172B33">
          <w:t>e Laçit</w:t>
        </w:r>
      </w:smartTag>
      <w:r w:rsidRPr="00172B33">
        <w:t>”</w:t>
      </w:r>
    </w:p>
    <w:p w:rsidR="002472EC" w:rsidRPr="00172B33" w:rsidRDefault="002472EC" w:rsidP="002472EC">
      <w:pPr>
        <w:pStyle w:val="Paragrafi0"/>
        <w:rPr>
          <w:szCs w:val="22"/>
        </w:rPr>
      </w:pPr>
    </w:p>
    <w:tbl>
      <w:tblPr>
        <w:tblStyle w:val="TableGrid"/>
        <w:tblW w:w="9523" w:type="dxa"/>
        <w:tblLook w:val="01E0" w:firstRow="1" w:lastRow="1" w:firstColumn="1" w:lastColumn="1" w:noHBand="0" w:noVBand="0"/>
      </w:tblPr>
      <w:tblGrid>
        <w:gridCol w:w="545"/>
        <w:gridCol w:w="1600"/>
        <w:gridCol w:w="1202"/>
        <w:gridCol w:w="995"/>
        <w:gridCol w:w="995"/>
        <w:gridCol w:w="1121"/>
        <w:gridCol w:w="861"/>
        <w:gridCol w:w="874"/>
        <w:gridCol w:w="1515"/>
      </w:tblGrid>
      <w:tr w:rsidR="002472EC" w:rsidRPr="00172B33" w:rsidTr="002472EC"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Nr.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Emri, mbiemri</w:t>
            </w:r>
          </w:p>
        </w:tc>
        <w:tc>
          <w:tcPr>
            <w:tcW w:w="1334" w:type="dxa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Zona kadastrale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Numri i pasurisë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Lloji i pasurisë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Sipërfaqe (m</w:t>
            </w:r>
            <w:r w:rsidRPr="00172B33">
              <w:rPr>
                <w:b/>
                <w:szCs w:val="22"/>
                <w:vertAlign w:val="superscript"/>
              </w:rPr>
              <w:t>2</w:t>
            </w:r>
            <w:r w:rsidRPr="00172B33">
              <w:rPr>
                <w:b/>
                <w:szCs w:val="22"/>
              </w:rPr>
              <w:t>)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Çmimi për (m</w:t>
            </w:r>
            <w:r w:rsidRPr="00172B33">
              <w:rPr>
                <w:b/>
                <w:szCs w:val="22"/>
                <w:vertAlign w:val="superscript"/>
              </w:rPr>
              <w:t>2</w:t>
            </w:r>
            <w:r w:rsidRPr="00172B33">
              <w:rPr>
                <w:b/>
                <w:szCs w:val="22"/>
              </w:rPr>
              <w:t>)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Vlera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jc w:val="center"/>
              <w:rPr>
                <w:b/>
                <w:szCs w:val="22"/>
              </w:rPr>
            </w:pPr>
            <w:r w:rsidRPr="00172B33">
              <w:rPr>
                <w:b/>
                <w:szCs w:val="22"/>
              </w:rPr>
              <w:t>Shënime</w:t>
            </w:r>
          </w:p>
        </w:tc>
      </w:tr>
      <w:tr w:rsidR="002472EC" w:rsidRPr="00172B33" w:rsidTr="002472EC"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1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Bashkëpronarët Zymaj</w:t>
            </w:r>
          </w:p>
        </w:tc>
        <w:tc>
          <w:tcPr>
            <w:tcW w:w="1334" w:type="dxa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2304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4/635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Truall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180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2144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385920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Konf.ZVRrPP</w:t>
            </w:r>
          </w:p>
        </w:tc>
      </w:tr>
      <w:tr w:rsidR="002472EC" w:rsidRPr="00172B33" w:rsidTr="002472EC"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 xml:space="preserve"> Marin Mark Zymaj</w:t>
            </w:r>
          </w:p>
        </w:tc>
        <w:tc>
          <w:tcPr>
            <w:tcW w:w="1334" w:type="dxa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2364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4/641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Truall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64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2144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137216</w:t>
            </w:r>
          </w:p>
        </w:tc>
        <w:tc>
          <w:tcPr>
            <w:tcW w:w="0" w:type="auto"/>
          </w:tcPr>
          <w:p w:rsidR="002472EC" w:rsidRPr="00172B33" w:rsidRDefault="002472EC" w:rsidP="002472EC">
            <w:pPr>
              <w:pStyle w:val="Tabele"/>
              <w:widowControl w:val="0"/>
              <w:rPr>
                <w:szCs w:val="22"/>
              </w:rPr>
            </w:pPr>
            <w:r w:rsidRPr="00172B33">
              <w:rPr>
                <w:szCs w:val="22"/>
              </w:rPr>
              <w:t>Konf.ZVRrPP</w:t>
            </w:r>
          </w:p>
        </w:tc>
      </w:tr>
    </w:tbl>
    <w:p w:rsidR="002472EC" w:rsidRPr="00172B33" w:rsidRDefault="002472EC" w:rsidP="002472EC">
      <w:pPr>
        <w:pStyle w:val="Paragrafi0"/>
        <w:rPr>
          <w:szCs w:val="22"/>
        </w:rPr>
      </w:pPr>
    </w:p>
    <w:sectPr w:rsidR="002472EC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72E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472EC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6B1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0E029F-1F99-4968-8FB7-84E48006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2EC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2472EC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2472E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2472EC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