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486" w:rsidRPr="00E03DCC" w:rsidRDefault="00667486" w:rsidP="00667486">
      <w:pPr>
        <w:pStyle w:val="Akti"/>
      </w:pPr>
      <w:bookmarkStart w:id="0" w:name="_GoBack"/>
      <w:bookmarkEnd w:id="0"/>
      <w:r>
        <w:t>VENDI</w:t>
      </w:r>
      <w:r w:rsidRPr="00E03DCC">
        <w:t>M</w:t>
      </w:r>
    </w:p>
    <w:p w:rsidR="00667486" w:rsidRPr="00E03DCC" w:rsidRDefault="00667486" w:rsidP="00667486">
      <w:pPr>
        <w:pStyle w:val="NumriData"/>
      </w:pPr>
      <w:r w:rsidRPr="00E03DCC">
        <w:t>Nr.446, dat</w:t>
      </w:r>
      <w:r>
        <w:t>ë</w:t>
      </w:r>
      <w:r w:rsidRPr="00E03DCC">
        <w:t xml:space="preserve"> 27.4.2009</w:t>
      </w:r>
    </w:p>
    <w:p w:rsidR="00667486" w:rsidRPr="00E03DCC" w:rsidRDefault="00667486" w:rsidP="00667486">
      <w:pPr>
        <w:pStyle w:val="Paragrafi0"/>
      </w:pPr>
      <w:r w:rsidRPr="00E03DCC">
        <w:t> </w:t>
      </w:r>
    </w:p>
    <w:p w:rsidR="00667486" w:rsidRPr="00E03DCC" w:rsidRDefault="00667486" w:rsidP="00667486">
      <w:pPr>
        <w:pStyle w:val="Titulli0"/>
      </w:pPr>
      <w:r w:rsidRPr="00E03DCC">
        <w:t>PËR</w:t>
      </w:r>
      <w:r>
        <w:t xml:space="preserve"> D</w:t>
      </w:r>
      <w:r w:rsidRPr="00E03DCC">
        <w:t>ISA NDRYSHIME DHE SHTESA NË V</w:t>
      </w:r>
      <w:r>
        <w:t>ENDIMIN NR. 475, DATË 13.7.2007 TË KËSHILLIT TË MINISTRAVE</w:t>
      </w:r>
      <w:r w:rsidRPr="00E03DCC">
        <w:t xml:space="preserve"> “PËR MIRATIMIN E STRUKTURËS DHE TË NIVELEVE TË PAGAVE TË NËPUNËSVE CIVILË, ZËVENDËSMINISTRIT DHE NËPUNËSVE TË KABINETEVE, NË KRYEMINISTRI, APARATET E MINISTRIVE TË LINJËS, ADMINISTRATËN E PRESIDENTIT, </w:t>
      </w:r>
      <w:r>
        <w:t xml:space="preserve">Të </w:t>
      </w:r>
      <w:r w:rsidRPr="00E03DCC">
        <w:t>KUVENDIT DHE KOMISIONIT QENDROR TË ZGJEDHJEVE”, TË NDRYSHUAR</w:t>
      </w:r>
    </w:p>
    <w:p w:rsidR="00667486" w:rsidRPr="00E03DCC" w:rsidRDefault="00667486" w:rsidP="00667486">
      <w:pPr>
        <w:pStyle w:val="Paragrafi0"/>
      </w:pPr>
      <w:r w:rsidRPr="00E03DCC">
        <w:t>  </w:t>
      </w:r>
    </w:p>
    <w:p w:rsidR="00667486" w:rsidRPr="00E03DCC" w:rsidRDefault="00667486" w:rsidP="00667486">
      <w:pPr>
        <w:pStyle w:val="Paragrafi0"/>
      </w:pPr>
      <w:r w:rsidRPr="00E03DCC">
        <w:t>Në mbështetje të nenit 100 të Kushtetut</w:t>
      </w:r>
      <w:r>
        <w:t>ës, të nenit 18 të ligjt nr.8549, datë 11.11.1999</w:t>
      </w:r>
      <w:r w:rsidRPr="00E03DCC">
        <w:t xml:space="preserve"> “Statusi i</w:t>
      </w:r>
      <w:r>
        <w:t xml:space="preserve"> nëpunësit civil”, të nenit 5/1 të ligjit nr.</w:t>
      </w:r>
      <w:r w:rsidRPr="00E03DCC">
        <w:t xml:space="preserve">8487, datë 13.5.1999 “Për kompetencat për caktimin e pagave të punës”, </w:t>
      </w:r>
      <w:r>
        <w:t>të ndryshuar, dhe të ligjit nr.</w:t>
      </w:r>
      <w:r w:rsidRPr="00E03DCC">
        <w:t>10</w:t>
      </w:r>
      <w:r>
        <w:t xml:space="preserve"> 025, datë 27.11.2008</w:t>
      </w:r>
      <w:r w:rsidRPr="00E03DCC">
        <w:t xml:space="preserve"> “Për buxhetin e vitit 2009”, me propozimin e Ministrit të Brendshëm dhe të Ministrit të Financave, Këshilli i Ministrave</w:t>
      </w:r>
    </w:p>
    <w:p w:rsidR="00667486" w:rsidRPr="00E03DCC" w:rsidRDefault="00667486" w:rsidP="00667486">
      <w:pPr>
        <w:pStyle w:val="Paragrafi0"/>
      </w:pPr>
      <w:r w:rsidRPr="00E03DCC">
        <w:t> </w:t>
      </w:r>
    </w:p>
    <w:p w:rsidR="00667486" w:rsidRPr="00E03DCC" w:rsidRDefault="00667486" w:rsidP="00667486">
      <w:pPr>
        <w:pStyle w:val="VENDOSI0"/>
      </w:pPr>
      <w:r>
        <w:t>VENDOS</w:t>
      </w:r>
      <w:r w:rsidRPr="00E03DCC">
        <w:t>I:</w:t>
      </w:r>
    </w:p>
    <w:p w:rsidR="00667486" w:rsidRPr="00E03DCC" w:rsidRDefault="00667486" w:rsidP="00667486">
      <w:pPr>
        <w:pStyle w:val="Paragrafi0"/>
      </w:pPr>
      <w:r w:rsidRPr="00E03DCC">
        <w:t> </w:t>
      </w:r>
    </w:p>
    <w:p w:rsidR="00667486" w:rsidRPr="00E03DCC" w:rsidRDefault="00667486" w:rsidP="00667486">
      <w:pPr>
        <w:pStyle w:val="Paragrafi0"/>
      </w:pPr>
      <w:r>
        <w:t>1. Në vendimin nr.</w:t>
      </w:r>
      <w:r w:rsidRPr="00E03DCC">
        <w:t>475, datë 13.7.2007, të ndryshuar, të bëhen ndryshimet dhe shtesat e  mëposhtme: </w:t>
      </w:r>
    </w:p>
    <w:p w:rsidR="00667486" w:rsidRPr="00E03DCC" w:rsidRDefault="00667486" w:rsidP="00667486">
      <w:pPr>
        <w:pStyle w:val="Paragrafi0"/>
      </w:pPr>
      <w:r w:rsidRPr="00E03DCC">
        <w:t>a) Titulli i vendimit ndryshohet, si më poshtë vijon:</w:t>
      </w:r>
    </w:p>
    <w:p w:rsidR="00667486" w:rsidRPr="00E03DCC" w:rsidRDefault="00667486" w:rsidP="00667486">
      <w:pPr>
        <w:pStyle w:val="Paragrafi0"/>
      </w:pPr>
      <w:r w:rsidRPr="00E03DCC">
        <w:t>“Për miratimin e strukturës dhe të niveleve të pagave të nëpunësve civilë/nëpunësve, zëvendësministrit dhe nëpunësve të kabineteve në Kryeministri, aparatet e ministrive të linjës, administratën e Presidentit, të Kuvendit, Komisionit Qendror të Zgjedhjeve, në Prokurorinë e Për</w:t>
      </w:r>
      <w:r>
        <w:t>gjithshme dhe Gjykatën e Lartë”</w:t>
      </w:r>
    </w:p>
    <w:p w:rsidR="00667486" w:rsidRPr="00E03DCC" w:rsidRDefault="00667486" w:rsidP="00667486">
      <w:pPr>
        <w:pStyle w:val="Paragrafi0"/>
      </w:pPr>
      <w:r w:rsidRPr="00E03DCC">
        <w:t>b) Lidhja nr.1, që përmendet në pikën 1, zëvendësohet me lidhjen me të njëjtin numër, që i bashkëlidhet këtij vendimi dhe është pjesë përbërëse e tij.</w:t>
      </w:r>
    </w:p>
    <w:p w:rsidR="00667486" w:rsidRPr="00E03DCC" w:rsidRDefault="00667486" w:rsidP="00667486">
      <w:pPr>
        <w:pStyle w:val="Paragrafi0"/>
      </w:pPr>
      <w:r w:rsidRPr="00E03DCC">
        <w:t>c) Në pikën 2, vl</w:t>
      </w:r>
      <w:r>
        <w:t>era “11 000 lekë”</w:t>
      </w:r>
      <w:r w:rsidRPr="00E03DCC">
        <w:t xml:space="preserve"> </w:t>
      </w:r>
      <w:r>
        <w:t>bëhet</w:t>
      </w:r>
      <w:r w:rsidRPr="00E03DCC">
        <w:t xml:space="preserve"> me “12 000 (dymbëdhjetë mijë) lekë”.</w:t>
      </w:r>
    </w:p>
    <w:p w:rsidR="00667486" w:rsidRPr="00E03DCC" w:rsidRDefault="00667486" w:rsidP="00667486">
      <w:pPr>
        <w:pStyle w:val="Paragrafi0"/>
      </w:pPr>
      <w:r w:rsidRPr="00E03DCC">
        <w:t>ç)  Pas pikës 6/1 shtohet pika 6/2, me këtë përmbajtje:</w:t>
      </w:r>
    </w:p>
    <w:p w:rsidR="00667486" w:rsidRPr="00E03DCC" w:rsidRDefault="00667486" w:rsidP="00667486">
      <w:pPr>
        <w:pStyle w:val="Paragrafi0"/>
      </w:pPr>
      <w:r w:rsidRPr="00E03DCC">
        <w:t>“6/2. Nëpunë</w:t>
      </w:r>
      <w:r>
        <w:t>sit në pozicionet “Specialist (a</w:t>
      </w:r>
      <w:r w:rsidRPr="00E03DCC">
        <w:t>rkivi)”, në Kryeministri, dhe në aparatet e ministrive të linjës, përfitojnë shtesë për kushte të vështira e të dëmshme për shëndetin. Kjo shtesë është në masën dhe sipas rregullave e kritereve të përcaktuara në vendimin përkatës të Këshillit të Ministrave, për pagat e punonjësve mbështetës.”.</w:t>
      </w:r>
    </w:p>
    <w:p w:rsidR="00667486" w:rsidRPr="00E03DCC" w:rsidRDefault="00667486" w:rsidP="00667486">
      <w:pPr>
        <w:pStyle w:val="Paragrafi0"/>
      </w:pPr>
      <w:r w:rsidRPr="00E03DCC">
        <w:t>d) Lidhja nr.2, që përmendet në pikën 7, zëvendësohet me lidhjen me të njëjtin numër, që i bashkëlidhet këtij vendimi dhe është pjesë përbërëse e tij.</w:t>
      </w:r>
    </w:p>
    <w:p w:rsidR="00667486" w:rsidRPr="00E03DCC" w:rsidRDefault="00667486" w:rsidP="00667486">
      <w:pPr>
        <w:pStyle w:val="Paragrafi0"/>
      </w:pPr>
      <w:r w:rsidRPr="00E03DCC">
        <w:t>dh) Pika 9 ndryshohet, si më poshtë vijon:</w:t>
      </w:r>
    </w:p>
    <w:p w:rsidR="00667486" w:rsidRPr="00E03DCC" w:rsidRDefault="00667486" w:rsidP="00667486">
      <w:pPr>
        <w:pStyle w:val="Paragrafi0"/>
      </w:pPr>
      <w:r w:rsidRPr="00E03DCC">
        <w:t>“9. Struktura dhe nivelet e pagave për zëvendësministrin dhe nëpunësit e kabineteve në Kryeministri, aparatet e ministrive të linjës, administratën e Presidentit, Kuvendit, Komisionit Qendror të Zgjedhjeve, në Prokurorinë e Përgjithshme dhe Gjykatën e Lartë përcaktohen, si më poshtë vijon:</w:t>
      </w:r>
    </w:p>
    <w:p w:rsidR="00667486" w:rsidRPr="00E03DCC" w:rsidRDefault="00667486" w:rsidP="00667486">
      <w:pPr>
        <w:pStyle w:val="Paragrafi0"/>
      </w:pPr>
      <w:r w:rsidRPr="00E03DCC">
        <w:t>-  Zëvendësministri                                                                    13</w:t>
      </w:r>
      <w:r>
        <w:t>6</w:t>
      </w:r>
      <w:r w:rsidRPr="00E03DCC">
        <w:t xml:space="preserve"> 000 lekë;</w:t>
      </w:r>
    </w:p>
    <w:p w:rsidR="00667486" w:rsidRPr="00E03DCC" w:rsidRDefault="00667486" w:rsidP="00667486">
      <w:pPr>
        <w:pStyle w:val="Paragrafi0"/>
      </w:pPr>
      <w:r w:rsidRPr="00E03DCC">
        <w:t>- Drejtori i kabinetit të Kryeministrit, të prokurorit të Përgjithshëm dhe kryetarit të Gjykatës së Lartë barazohen në pagë me nëpunësin civil, të kategorisë I-a;</w:t>
      </w:r>
    </w:p>
    <w:p w:rsidR="00667486" w:rsidRPr="00E03DCC" w:rsidRDefault="00667486" w:rsidP="00667486">
      <w:pPr>
        <w:pStyle w:val="Paragrafi0"/>
      </w:pPr>
      <w:r w:rsidRPr="00E03DCC">
        <w:t>- Këshilltari i Kryeministrit, shefi i Protokollit të Kryeministrit dhe drejtori i kabinetit të zëvendëskryeministrit barazohen në pagë me zëvendësministrin;</w:t>
      </w:r>
    </w:p>
    <w:p w:rsidR="00667486" w:rsidRPr="00E03DCC" w:rsidRDefault="00667486" w:rsidP="00667486">
      <w:pPr>
        <w:pStyle w:val="Paragrafi0"/>
      </w:pPr>
      <w:r w:rsidRPr="00E03DCC">
        <w:t>- Këshilltari i prokurorit të Përgjithshëm, këshilltari i kryetarit të Gjykatës së Lartë, ndihmësi i Kryeministrit dhe këshilltari i zëvendëskryeministrit barazohen në pagë me nëpunësin civil të kategorisë I-b;</w:t>
      </w:r>
    </w:p>
    <w:p w:rsidR="00667486" w:rsidRPr="00E03DCC" w:rsidRDefault="00667486" w:rsidP="00667486">
      <w:pPr>
        <w:pStyle w:val="Paragrafi0"/>
      </w:pPr>
      <w:r w:rsidRPr="00E03DCC">
        <w:t>- Ndihmësi i zëvendëskryeministrit dhe drejtori i kabinetit të ministrit barazohen në pagë me nëpunësin civil të kategorisë II-a;</w:t>
      </w:r>
    </w:p>
    <w:p w:rsidR="00667486" w:rsidRDefault="00667486" w:rsidP="00667486">
      <w:pPr>
        <w:pStyle w:val="Paragrafi0"/>
      </w:pPr>
      <w:r w:rsidRPr="00E03DCC">
        <w:t>- Këshilltari i ministrit dhe zëdhënësi barazohen në pagë m</w:t>
      </w:r>
      <w:r>
        <w:t>e nëpunësin civil të kategorisë</w:t>
      </w:r>
      <w:r w:rsidRPr="00F14DE6">
        <w:t xml:space="preserve"> </w:t>
      </w:r>
      <w:r w:rsidRPr="00E03DCC">
        <w:t>II-b;</w:t>
      </w:r>
    </w:p>
    <w:p w:rsidR="00667486" w:rsidRPr="00E03DCC" w:rsidRDefault="00667486" w:rsidP="00667486">
      <w:pPr>
        <w:pStyle w:val="Paragrafi0"/>
      </w:pPr>
      <w:r w:rsidRPr="00E03DCC">
        <w:t>-Ndihmësi</w:t>
      </w:r>
      <w:r>
        <w:t>t</w:t>
      </w:r>
      <w:r w:rsidRPr="00E03DCC">
        <w:t xml:space="preserve"> ligjor</w:t>
      </w:r>
      <w:r>
        <w:t>ë pranë prokurorëve në Prokurorinë e Përgjithshme</w:t>
      </w:r>
      <w:r w:rsidRPr="00E03DCC">
        <w:t xml:space="preserve"> dhe ekspertët në Prokurorinë e Përgjithshme barazohen në pagë me nëpunësin civil të kategorisë III-a;</w:t>
      </w:r>
    </w:p>
    <w:p w:rsidR="00667486" w:rsidRPr="00E03DCC" w:rsidRDefault="00667486" w:rsidP="00667486">
      <w:pPr>
        <w:pStyle w:val="Paragrafi0"/>
      </w:pPr>
      <w:r w:rsidRPr="00E03DCC">
        <w:t>- Sekretari i Kryeministrit, Presidentit,</w:t>
      </w:r>
    </w:p>
    <w:p w:rsidR="00667486" w:rsidRPr="00E03DCC" w:rsidRDefault="00667486" w:rsidP="00667486">
      <w:pPr>
        <w:pStyle w:val="Paragrafi0"/>
      </w:pPr>
      <w:r w:rsidRPr="00E03DCC">
        <w:t>Kryetarit të Kuvendit, kryetarit të Gjykatës së Lartë,</w:t>
      </w:r>
    </w:p>
    <w:p w:rsidR="00667486" w:rsidRPr="00E03DCC" w:rsidRDefault="00667486" w:rsidP="00667486">
      <w:pPr>
        <w:pStyle w:val="Paragrafi0"/>
      </w:pPr>
      <w:r w:rsidRPr="00E03DCC">
        <w:t>prokurorit të Përgjithshëm, zëvendëskryeministrit,</w:t>
      </w:r>
    </w:p>
    <w:p w:rsidR="00667486" w:rsidRPr="00E03DCC" w:rsidRDefault="00667486" w:rsidP="00667486">
      <w:pPr>
        <w:pStyle w:val="Paragrafi0"/>
      </w:pPr>
      <w:r w:rsidRPr="00E03DCC">
        <w:t>nënkryetarit të Kuvendit                                                                  64 000  lekë;</w:t>
      </w:r>
    </w:p>
    <w:p w:rsidR="00667486" w:rsidRPr="00E03DCC" w:rsidRDefault="00667486" w:rsidP="00667486">
      <w:pPr>
        <w:pStyle w:val="Paragrafi0"/>
      </w:pPr>
      <w:r w:rsidRPr="00E03DCC">
        <w:t>- Sekretari i ministrit, sekretar,</w:t>
      </w:r>
    </w:p>
    <w:p w:rsidR="00667486" w:rsidRPr="00E03DCC" w:rsidRDefault="00667486" w:rsidP="00667486">
      <w:pPr>
        <w:pStyle w:val="Paragrafi0"/>
      </w:pPr>
      <w:r w:rsidRPr="00E03DCC">
        <w:t>sekretari i këshilltarit të Presidentit                                              </w:t>
      </w:r>
      <w:r>
        <w:tab/>
        <w:t>5</w:t>
      </w:r>
      <w:r w:rsidRPr="00E03DCC">
        <w:t>3 000 lekë.</w:t>
      </w:r>
    </w:p>
    <w:p w:rsidR="00667486" w:rsidRPr="00E03DCC" w:rsidRDefault="00667486" w:rsidP="00667486">
      <w:pPr>
        <w:pStyle w:val="Paragrafi0"/>
      </w:pPr>
      <w:r w:rsidRPr="00E03DCC">
        <w:t> Shtesa për vjetërsi në punë, për pozicionet “Sekretar i Kryeministrit”, “Sekretar i Presidentit”, “Sekretar i Kryetarit të Kuvendit”, “Sekretar i zëvendëskryeministrit”, “Sekretar i nënkryetarit të Kuvendit”, “Sekretar i ministrit”, “Sekretar” dhe “Sekretar i këshilltarit të Presidentit” jepet në masën 2 për qind pas çdo viti pune, deri në 25 vjet dhe llogaritet mbi vlerën</w:t>
      </w:r>
      <w:r w:rsidRPr="00F14DE6">
        <w:t xml:space="preserve"> </w:t>
      </w:r>
      <w:r w:rsidRPr="00E03DCC">
        <w:t>12 000 (dymbëdhjetë mijë) lekë.</w:t>
      </w:r>
    </w:p>
    <w:p w:rsidR="00667486" w:rsidRPr="00E03DCC" w:rsidRDefault="00667486" w:rsidP="00667486">
      <w:pPr>
        <w:pStyle w:val="Paragrafi0"/>
      </w:pPr>
      <w:r w:rsidRPr="00E03DCC">
        <w:t xml:space="preserve"> Këto nivele pagash zbatohen edhe për funksionet ekuivalente të administratës së Presidentit, </w:t>
      </w:r>
      <w:r>
        <w:t xml:space="preserve">të </w:t>
      </w:r>
      <w:r w:rsidRPr="00E03DCC">
        <w:t>Kuvendit dhe Komisionit Qendror të Zgjedhjeve.”.   </w:t>
      </w:r>
    </w:p>
    <w:p w:rsidR="00667486" w:rsidRPr="00E03DCC" w:rsidRDefault="00667486" w:rsidP="00667486">
      <w:pPr>
        <w:pStyle w:val="Paragrafi0"/>
      </w:pPr>
      <w:r w:rsidRPr="00E03DCC">
        <w:t> 2. Pagat e punonjësve të tjerë të administratës së Prokurorisë së Përgjithshme dhe të Gjykatës së Lartë përcaktohen sipas vendimit përkatës të Këshillit të Ministrave, për pagat e punonjësve mbështetës.</w:t>
      </w:r>
    </w:p>
    <w:p w:rsidR="00667486" w:rsidRPr="00E03DCC" w:rsidRDefault="00667486" w:rsidP="00667486">
      <w:pPr>
        <w:pStyle w:val="Paragrafi0"/>
      </w:pPr>
      <w:r w:rsidRPr="00E03DCC">
        <w:t> 3. Efektet financiare, që rrjedhin nga zbatimi i këtij vendimi, të përballohen nga fondet e politikës së pagave, miratuar për vitin 2009.  </w:t>
      </w:r>
    </w:p>
    <w:p w:rsidR="00667486" w:rsidRPr="00E03DCC" w:rsidRDefault="00667486" w:rsidP="00667486">
      <w:pPr>
        <w:pStyle w:val="Paragrafi0"/>
      </w:pPr>
      <w:r w:rsidRPr="00E03DCC">
        <w:t> Ky ven</w:t>
      </w:r>
      <w:r>
        <w:t>dim hyn në fuqi pas botimit në Fletoren Zyrtare</w:t>
      </w:r>
      <w:r w:rsidRPr="00E03DCC">
        <w:t xml:space="preserve"> dhe i shtrin efektet financiare nga data 1 maj 2009.</w:t>
      </w:r>
    </w:p>
    <w:p w:rsidR="00667486" w:rsidRDefault="00667486" w:rsidP="00667486">
      <w:pPr>
        <w:pStyle w:val="Paragrafi0"/>
      </w:pPr>
    </w:p>
    <w:p w:rsidR="00667486" w:rsidRDefault="00667486" w:rsidP="00667486">
      <w:pPr>
        <w:pStyle w:val="Autoriteti"/>
      </w:pPr>
      <w:r>
        <w:t>Kryeministri</w:t>
      </w:r>
    </w:p>
    <w:p w:rsidR="00667486" w:rsidRDefault="00667486" w:rsidP="00667486">
      <w:pPr>
        <w:pStyle w:val="AutoritetiEmer"/>
      </w:pPr>
      <w:r>
        <w:t>Sali Berisha</w:t>
      </w:r>
    </w:p>
    <w:p w:rsidR="00667486" w:rsidRPr="00E03DCC" w:rsidRDefault="00667486" w:rsidP="00667486">
      <w:pPr>
        <w:pStyle w:val="Paragrafi0"/>
      </w:pPr>
      <w:r w:rsidRPr="00E03DCC">
        <w:t> </w:t>
      </w:r>
    </w:p>
    <w:p w:rsidR="00667486" w:rsidRDefault="00667486" w:rsidP="00667486">
      <w:pPr>
        <w:pStyle w:val="Paragrafi0"/>
        <w:ind w:left="6480"/>
      </w:pPr>
      <w:r>
        <w:t>Lidhja nr.1</w:t>
      </w:r>
    </w:p>
    <w:p w:rsidR="00667486" w:rsidRDefault="00667486" w:rsidP="00667486">
      <w:pPr>
        <w:pStyle w:val="Paragrafi0"/>
      </w:pPr>
    </w:p>
    <w:tbl>
      <w:tblPr>
        <w:tblStyle w:val="TableGrid"/>
        <w:tblW w:w="8568" w:type="dxa"/>
        <w:tblLook w:val="01E0" w:firstRow="1" w:lastRow="1" w:firstColumn="1" w:lastColumn="1" w:noHBand="0" w:noVBand="0"/>
      </w:tblPr>
      <w:tblGrid>
        <w:gridCol w:w="818"/>
        <w:gridCol w:w="1856"/>
        <w:gridCol w:w="1214"/>
        <w:gridCol w:w="1800"/>
        <w:gridCol w:w="1260"/>
        <w:gridCol w:w="1620"/>
      </w:tblGrid>
      <w:tr w:rsidR="00667486" w:rsidRPr="006D7B4D" w:rsidTr="00667486">
        <w:tc>
          <w:tcPr>
            <w:tcW w:w="818" w:type="dxa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</w:p>
        </w:tc>
        <w:tc>
          <w:tcPr>
            <w:tcW w:w="7750" w:type="dxa"/>
            <w:gridSpan w:val="5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  <w:r w:rsidRPr="006D7B4D">
              <w:rPr>
                <w:b/>
                <w:sz w:val="20"/>
              </w:rPr>
              <w:t>PAGA MUJORE</w:t>
            </w:r>
          </w:p>
        </w:tc>
      </w:tr>
      <w:tr w:rsidR="00667486" w:rsidRPr="006D7B4D" w:rsidTr="00667486">
        <w:tc>
          <w:tcPr>
            <w:tcW w:w="818" w:type="dxa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  <w:r w:rsidRPr="006D7B4D">
              <w:rPr>
                <w:b/>
                <w:sz w:val="20"/>
              </w:rPr>
              <w:t>Klasa</w:t>
            </w:r>
          </w:p>
        </w:tc>
        <w:tc>
          <w:tcPr>
            <w:tcW w:w="1856" w:type="dxa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  <w:r w:rsidRPr="006D7B4D">
              <w:rPr>
                <w:b/>
                <w:sz w:val="20"/>
              </w:rPr>
              <w:t>Kategoritë</w:t>
            </w:r>
          </w:p>
        </w:tc>
        <w:tc>
          <w:tcPr>
            <w:tcW w:w="4274" w:type="dxa"/>
            <w:gridSpan w:val="3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  <w:r w:rsidRPr="006D7B4D">
              <w:rPr>
                <w:b/>
                <w:sz w:val="20"/>
              </w:rPr>
              <w:t>Paga individuale (paga bazë)</w:t>
            </w:r>
          </w:p>
        </w:tc>
        <w:tc>
          <w:tcPr>
            <w:tcW w:w="1620" w:type="dxa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  <w:r w:rsidRPr="006D7B4D">
              <w:rPr>
                <w:b/>
                <w:sz w:val="20"/>
              </w:rPr>
              <w:t>Shtesa e pozicionit</w:t>
            </w:r>
          </w:p>
        </w:tc>
      </w:tr>
      <w:tr w:rsidR="00667486" w:rsidRPr="006D7B4D" w:rsidTr="00667486">
        <w:tc>
          <w:tcPr>
            <w:tcW w:w="818" w:type="dxa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</w:p>
        </w:tc>
        <w:tc>
          <w:tcPr>
            <w:tcW w:w="1856" w:type="dxa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  <w:r w:rsidRPr="006D7B4D">
              <w:rPr>
                <w:b/>
                <w:sz w:val="20"/>
              </w:rPr>
              <w:t>1</w:t>
            </w:r>
          </w:p>
        </w:tc>
        <w:tc>
          <w:tcPr>
            <w:tcW w:w="1214" w:type="dxa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  <w:r w:rsidRPr="006D7B4D">
              <w:rPr>
                <w:b/>
                <w:sz w:val="20"/>
              </w:rPr>
              <w:t>2</w:t>
            </w:r>
          </w:p>
        </w:tc>
        <w:tc>
          <w:tcPr>
            <w:tcW w:w="1800" w:type="dxa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  <w:r w:rsidRPr="006D7B4D">
              <w:rPr>
                <w:b/>
                <w:sz w:val="20"/>
              </w:rPr>
              <w:t>3</w:t>
            </w:r>
          </w:p>
        </w:tc>
        <w:tc>
          <w:tcPr>
            <w:tcW w:w="1260" w:type="dxa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  <w:r w:rsidRPr="006D7B4D">
              <w:rPr>
                <w:b/>
                <w:sz w:val="20"/>
              </w:rPr>
              <w:t>4</w:t>
            </w:r>
          </w:p>
        </w:tc>
        <w:tc>
          <w:tcPr>
            <w:tcW w:w="1620" w:type="dxa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  <w:r w:rsidRPr="006D7B4D">
              <w:rPr>
                <w:b/>
                <w:sz w:val="20"/>
              </w:rPr>
              <w:t>5</w:t>
            </w:r>
          </w:p>
        </w:tc>
      </w:tr>
      <w:tr w:rsidR="00667486" w:rsidRPr="006D7B4D" w:rsidTr="00667486">
        <w:tc>
          <w:tcPr>
            <w:tcW w:w="818" w:type="dxa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</w:p>
        </w:tc>
        <w:tc>
          <w:tcPr>
            <w:tcW w:w="1856" w:type="dxa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</w:p>
        </w:tc>
        <w:tc>
          <w:tcPr>
            <w:tcW w:w="1214" w:type="dxa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  <w:r w:rsidRPr="006D7B4D">
              <w:rPr>
                <w:b/>
                <w:sz w:val="20"/>
              </w:rPr>
              <w:t>Paga e grupit (PG) lekë</w:t>
            </w:r>
          </w:p>
        </w:tc>
        <w:tc>
          <w:tcPr>
            <w:tcW w:w="1800" w:type="dxa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  <w:r w:rsidRPr="006D7B4D">
              <w:rPr>
                <w:b/>
                <w:sz w:val="20"/>
              </w:rPr>
              <w:t>Shtesa vjetore për vjetësi (SHV) në përqindje</w:t>
            </w:r>
          </w:p>
        </w:tc>
        <w:tc>
          <w:tcPr>
            <w:tcW w:w="1260" w:type="dxa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  <w:r w:rsidRPr="006D7B4D">
              <w:rPr>
                <w:b/>
                <w:sz w:val="20"/>
              </w:rPr>
              <w:t>Shtesa për kualifikim (SHK) lekë</w:t>
            </w:r>
          </w:p>
        </w:tc>
        <w:tc>
          <w:tcPr>
            <w:tcW w:w="1620" w:type="dxa"/>
          </w:tcPr>
          <w:p w:rsidR="00667486" w:rsidRPr="006D7B4D" w:rsidRDefault="00667486" w:rsidP="00667486">
            <w:pPr>
              <w:pStyle w:val="Tabele"/>
              <w:jc w:val="center"/>
              <w:rPr>
                <w:b/>
                <w:sz w:val="20"/>
              </w:rPr>
            </w:pPr>
            <w:r w:rsidRPr="006D7B4D">
              <w:rPr>
                <w:b/>
                <w:sz w:val="20"/>
              </w:rPr>
              <w:t>Shtesa për pozicion (SHP) lekë</w:t>
            </w:r>
          </w:p>
        </w:tc>
      </w:tr>
      <w:tr w:rsidR="00667486" w:rsidRPr="006D7B4D" w:rsidTr="00667486">
        <w:trPr>
          <w:trHeight w:val="333"/>
        </w:trPr>
        <w:tc>
          <w:tcPr>
            <w:tcW w:w="818" w:type="dxa"/>
            <w:vMerge w:val="restart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  <w:r w:rsidRPr="006D7B4D">
              <w:rPr>
                <w:sz w:val="20"/>
              </w:rPr>
              <w:t>I</w:t>
            </w:r>
          </w:p>
        </w:tc>
        <w:tc>
          <w:tcPr>
            <w:tcW w:w="1856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  <w:r w:rsidRPr="006D7B4D">
              <w:rPr>
                <w:sz w:val="20"/>
              </w:rPr>
              <w:t>I-a</w:t>
            </w:r>
          </w:p>
        </w:tc>
        <w:tc>
          <w:tcPr>
            <w:tcW w:w="1214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12 000</w:t>
            </w:r>
          </w:p>
        </w:tc>
        <w:tc>
          <w:tcPr>
            <w:tcW w:w="1800" w:type="dxa"/>
          </w:tcPr>
          <w:p w:rsidR="00667486" w:rsidRPr="006D7B4D" w:rsidRDefault="00667486" w:rsidP="00667486">
            <w:pPr>
              <w:pStyle w:val="Tabele"/>
              <w:jc w:val="center"/>
              <w:rPr>
                <w:sz w:val="20"/>
              </w:rPr>
            </w:pPr>
            <w:r w:rsidRPr="006D7B4D">
              <w:rPr>
                <w:sz w:val="20"/>
              </w:rPr>
              <w:t>2%</w:t>
            </w:r>
          </w:p>
        </w:tc>
        <w:tc>
          <w:tcPr>
            <w:tcW w:w="1260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126 000</w:t>
            </w:r>
          </w:p>
        </w:tc>
      </w:tr>
      <w:tr w:rsidR="00667486" w:rsidRPr="006D7B4D" w:rsidTr="00667486">
        <w:trPr>
          <w:trHeight w:val="215"/>
        </w:trPr>
        <w:tc>
          <w:tcPr>
            <w:tcW w:w="818" w:type="dxa"/>
            <w:vMerge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</w:p>
        </w:tc>
        <w:tc>
          <w:tcPr>
            <w:tcW w:w="1856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  <w:r w:rsidRPr="006D7B4D">
              <w:rPr>
                <w:sz w:val="20"/>
              </w:rPr>
              <w:t>I-b</w:t>
            </w:r>
          </w:p>
        </w:tc>
        <w:tc>
          <w:tcPr>
            <w:tcW w:w="1214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12 000</w:t>
            </w:r>
          </w:p>
        </w:tc>
        <w:tc>
          <w:tcPr>
            <w:tcW w:w="1800" w:type="dxa"/>
          </w:tcPr>
          <w:p w:rsidR="00667486" w:rsidRPr="006D7B4D" w:rsidRDefault="00667486" w:rsidP="00667486">
            <w:pPr>
              <w:pStyle w:val="Tabele"/>
              <w:jc w:val="center"/>
              <w:rPr>
                <w:sz w:val="20"/>
              </w:rPr>
            </w:pPr>
            <w:r w:rsidRPr="006D7B4D">
              <w:rPr>
                <w:sz w:val="20"/>
              </w:rPr>
              <w:t>2%</w:t>
            </w:r>
          </w:p>
        </w:tc>
        <w:tc>
          <w:tcPr>
            <w:tcW w:w="1260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115 000</w:t>
            </w:r>
          </w:p>
        </w:tc>
      </w:tr>
      <w:tr w:rsidR="00667486" w:rsidRPr="006D7B4D" w:rsidTr="00667486">
        <w:trPr>
          <w:trHeight w:val="247"/>
        </w:trPr>
        <w:tc>
          <w:tcPr>
            <w:tcW w:w="818" w:type="dxa"/>
            <w:vMerge w:val="restart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  <w:r w:rsidRPr="006D7B4D">
              <w:rPr>
                <w:sz w:val="20"/>
              </w:rPr>
              <w:t>II</w:t>
            </w:r>
          </w:p>
        </w:tc>
        <w:tc>
          <w:tcPr>
            <w:tcW w:w="1856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  <w:r w:rsidRPr="006D7B4D">
              <w:rPr>
                <w:sz w:val="20"/>
              </w:rPr>
              <w:t>II-a</w:t>
            </w:r>
          </w:p>
        </w:tc>
        <w:tc>
          <w:tcPr>
            <w:tcW w:w="1214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12 000</w:t>
            </w:r>
          </w:p>
        </w:tc>
        <w:tc>
          <w:tcPr>
            <w:tcW w:w="1800" w:type="dxa"/>
          </w:tcPr>
          <w:p w:rsidR="00667486" w:rsidRPr="006D7B4D" w:rsidRDefault="00667486" w:rsidP="00667486">
            <w:pPr>
              <w:pStyle w:val="Tabele"/>
              <w:jc w:val="center"/>
              <w:rPr>
                <w:sz w:val="20"/>
              </w:rPr>
            </w:pPr>
            <w:r w:rsidRPr="006D7B4D">
              <w:rPr>
                <w:sz w:val="20"/>
              </w:rPr>
              <w:t>2%</w:t>
            </w:r>
          </w:p>
        </w:tc>
        <w:tc>
          <w:tcPr>
            <w:tcW w:w="1260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105 000</w:t>
            </w:r>
          </w:p>
        </w:tc>
      </w:tr>
      <w:tr w:rsidR="00667486" w:rsidRPr="006D7B4D" w:rsidTr="00667486">
        <w:trPr>
          <w:trHeight w:val="301"/>
        </w:trPr>
        <w:tc>
          <w:tcPr>
            <w:tcW w:w="818" w:type="dxa"/>
            <w:vMerge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</w:p>
        </w:tc>
        <w:tc>
          <w:tcPr>
            <w:tcW w:w="1856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  <w:r w:rsidRPr="006D7B4D">
              <w:rPr>
                <w:sz w:val="20"/>
              </w:rPr>
              <w:t>II-b</w:t>
            </w:r>
          </w:p>
        </w:tc>
        <w:tc>
          <w:tcPr>
            <w:tcW w:w="1214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12 000</w:t>
            </w:r>
          </w:p>
        </w:tc>
        <w:tc>
          <w:tcPr>
            <w:tcW w:w="1800" w:type="dxa"/>
          </w:tcPr>
          <w:p w:rsidR="00667486" w:rsidRPr="006D7B4D" w:rsidRDefault="00667486" w:rsidP="00667486">
            <w:pPr>
              <w:pStyle w:val="Tabele"/>
              <w:jc w:val="center"/>
              <w:rPr>
                <w:sz w:val="20"/>
              </w:rPr>
            </w:pPr>
            <w:r w:rsidRPr="006D7B4D">
              <w:rPr>
                <w:sz w:val="20"/>
              </w:rPr>
              <w:t>2%</w:t>
            </w:r>
          </w:p>
        </w:tc>
        <w:tc>
          <w:tcPr>
            <w:tcW w:w="1260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88 000</w:t>
            </w:r>
          </w:p>
        </w:tc>
      </w:tr>
      <w:tr w:rsidR="00667486" w:rsidRPr="006D7B4D" w:rsidTr="00667486">
        <w:trPr>
          <w:trHeight w:val="300"/>
        </w:trPr>
        <w:tc>
          <w:tcPr>
            <w:tcW w:w="818" w:type="dxa"/>
            <w:vMerge w:val="restart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  <w:r w:rsidRPr="006D7B4D">
              <w:rPr>
                <w:sz w:val="20"/>
              </w:rPr>
              <w:t>III</w:t>
            </w:r>
          </w:p>
        </w:tc>
        <w:tc>
          <w:tcPr>
            <w:tcW w:w="1856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  <w:r w:rsidRPr="006D7B4D">
              <w:rPr>
                <w:sz w:val="20"/>
              </w:rPr>
              <w:t>III-a</w:t>
            </w:r>
          </w:p>
        </w:tc>
        <w:tc>
          <w:tcPr>
            <w:tcW w:w="1214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12 000</w:t>
            </w:r>
          </w:p>
        </w:tc>
        <w:tc>
          <w:tcPr>
            <w:tcW w:w="1800" w:type="dxa"/>
          </w:tcPr>
          <w:p w:rsidR="00667486" w:rsidRPr="006D7B4D" w:rsidRDefault="00667486" w:rsidP="00667486">
            <w:pPr>
              <w:pStyle w:val="Tabele"/>
              <w:jc w:val="center"/>
              <w:rPr>
                <w:sz w:val="20"/>
              </w:rPr>
            </w:pPr>
            <w:r w:rsidRPr="006D7B4D">
              <w:rPr>
                <w:sz w:val="20"/>
              </w:rPr>
              <w:t>2%</w:t>
            </w:r>
          </w:p>
        </w:tc>
        <w:tc>
          <w:tcPr>
            <w:tcW w:w="1260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69 000</w:t>
            </w:r>
          </w:p>
        </w:tc>
      </w:tr>
      <w:tr w:rsidR="00667486" w:rsidRPr="006D7B4D" w:rsidTr="00667486">
        <w:trPr>
          <w:trHeight w:val="225"/>
        </w:trPr>
        <w:tc>
          <w:tcPr>
            <w:tcW w:w="818" w:type="dxa"/>
            <w:vMerge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</w:p>
        </w:tc>
        <w:tc>
          <w:tcPr>
            <w:tcW w:w="1856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  <w:r w:rsidRPr="006D7B4D">
              <w:rPr>
                <w:sz w:val="20"/>
              </w:rPr>
              <w:t>III-a/1</w:t>
            </w:r>
          </w:p>
        </w:tc>
        <w:tc>
          <w:tcPr>
            <w:tcW w:w="1214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12 000</w:t>
            </w:r>
          </w:p>
        </w:tc>
        <w:tc>
          <w:tcPr>
            <w:tcW w:w="1800" w:type="dxa"/>
          </w:tcPr>
          <w:p w:rsidR="00667486" w:rsidRPr="006D7B4D" w:rsidRDefault="00667486" w:rsidP="00667486">
            <w:pPr>
              <w:pStyle w:val="Tabele"/>
              <w:jc w:val="center"/>
              <w:rPr>
                <w:sz w:val="20"/>
              </w:rPr>
            </w:pPr>
            <w:r w:rsidRPr="006D7B4D">
              <w:rPr>
                <w:sz w:val="20"/>
              </w:rPr>
              <w:t>2%</w:t>
            </w:r>
          </w:p>
        </w:tc>
        <w:tc>
          <w:tcPr>
            <w:tcW w:w="1260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60 000</w:t>
            </w:r>
          </w:p>
        </w:tc>
      </w:tr>
      <w:tr w:rsidR="00667486" w:rsidRPr="006D7B4D" w:rsidTr="00667486">
        <w:trPr>
          <w:trHeight w:val="312"/>
        </w:trPr>
        <w:tc>
          <w:tcPr>
            <w:tcW w:w="818" w:type="dxa"/>
            <w:vMerge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</w:p>
        </w:tc>
        <w:tc>
          <w:tcPr>
            <w:tcW w:w="1856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  <w:r w:rsidRPr="006D7B4D">
              <w:rPr>
                <w:sz w:val="20"/>
              </w:rPr>
              <w:t>III-b</w:t>
            </w:r>
          </w:p>
        </w:tc>
        <w:tc>
          <w:tcPr>
            <w:tcW w:w="1214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12 000</w:t>
            </w:r>
          </w:p>
        </w:tc>
        <w:tc>
          <w:tcPr>
            <w:tcW w:w="1800" w:type="dxa"/>
          </w:tcPr>
          <w:p w:rsidR="00667486" w:rsidRPr="006D7B4D" w:rsidRDefault="00667486" w:rsidP="00667486">
            <w:pPr>
              <w:pStyle w:val="Tabele"/>
              <w:jc w:val="center"/>
              <w:rPr>
                <w:sz w:val="20"/>
              </w:rPr>
            </w:pPr>
            <w:r w:rsidRPr="006D7B4D">
              <w:rPr>
                <w:sz w:val="20"/>
              </w:rPr>
              <w:t>2%</w:t>
            </w:r>
          </w:p>
        </w:tc>
        <w:tc>
          <w:tcPr>
            <w:tcW w:w="1260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52 000</w:t>
            </w:r>
          </w:p>
        </w:tc>
      </w:tr>
      <w:tr w:rsidR="00667486" w:rsidRPr="006D7B4D" w:rsidTr="00667486">
        <w:trPr>
          <w:trHeight w:val="355"/>
        </w:trPr>
        <w:tc>
          <w:tcPr>
            <w:tcW w:w="818" w:type="dxa"/>
            <w:vMerge w:val="restart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  <w:r w:rsidRPr="006D7B4D">
              <w:rPr>
                <w:sz w:val="20"/>
              </w:rPr>
              <w:t>IV</w:t>
            </w:r>
          </w:p>
        </w:tc>
        <w:tc>
          <w:tcPr>
            <w:tcW w:w="1856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  <w:r w:rsidRPr="006D7B4D">
              <w:rPr>
                <w:sz w:val="20"/>
              </w:rPr>
              <w:t>IV-a</w:t>
            </w:r>
          </w:p>
        </w:tc>
        <w:tc>
          <w:tcPr>
            <w:tcW w:w="1214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12 000</w:t>
            </w:r>
          </w:p>
        </w:tc>
        <w:tc>
          <w:tcPr>
            <w:tcW w:w="1800" w:type="dxa"/>
          </w:tcPr>
          <w:p w:rsidR="00667486" w:rsidRPr="006D7B4D" w:rsidRDefault="00667486" w:rsidP="00667486">
            <w:pPr>
              <w:pStyle w:val="Tabele"/>
              <w:jc w:val="center"/>
              <w:rPr>
                <w:sz w:val="20"/>
              </w:rPr>
            </w:pPr>
            <w:r w:rsidRPr="006D7B4D">
              <w:rPr>
                <w:sz w:val="20"/>
              </w:rPr>
              <w:t>2%</w:t>
            </w:r>
          </w:p>
        </w:tc>
        <w:tc>
          <w:tcPr>
            <w:tcW w:w="1260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41 000</w:t>
            </w:r>
          </w:p>
        </w:tc>
      </w:tr>
      <w:tr w:rsidR="00667486" w:rsidRPr="006D7B4D" w:rsidTr="00667486">
        <w:trPr>
          <w:trHeight w:val="193"/>
        </w:trPr>
        <w:tc>
          <w:tcPr>
            <w:tcW w:w="818" w:type="dxa"/>
            <w:vMerge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</w:p>
        </w:tc>
        <w:tc>
          <w:tcPr>
            <w:tcW w:w="1856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  <w:r w:rsidRPr="006D7B4D">
              <w:rPr>
                <w:sz w:val="20"/>
              </w:rPr>
              <w:t>IV-b</w:t>
            </w:r>
          </w:p>
        </w:tc>
        <w:tc>
          <w:tcPr>
            <w:tcW w:w="1214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12 000</w:t>
            </w:r>
          </w:p>
        </w:tc>
        <w:tc>
          <w:tcPr>
            <w:tcW w:w="1800" w:type="dxa"/>
          </w:tcPr>
          <w:p w:rsidR="00667486" w:rsidRPr="006D7B4D" w:rsidRDefault="00667486" w:rsidP="00667486">
            <w:pPr>
              <w:pStyle w:val="Tabele"/>
              <w:jc w:val="center"/>
              <w:rPr>
                <w:sz w:val="20"/>
              </w:rPr>
            </w:pPr>
            <w:r w:rsidRPr="006D7B4D">
              <w:rPr>
                <w:sz w:val="20"/>
              </w:rPr>
              <w:t>2%</w:t>
            </w:r>
          </w:p>
        </w:tc>
        <w:tc>
          <w:tcPr>
            <w:tcW w:w="1260" w:type="dxa"/>
          </w:tcPr>
          <w:p w:rsidR="00667486" w:rsidRPr="006D7B4D" w:rsidRDefault="00667486" w:rsidP="00667486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</w:tcPr>
          <w:p w:rsidR="00667486" w:rsidRPr="006D7B4D" w:rsidRDefault="00667486" w:rsidP="00667486">
            <w:pPr>
              <w:pStyle w:val="Tabele"/>
              <w:jc w:val="right"/>
              <w:rPr>
                <w:sz w:val="20"/>
              </w:rPr>
            </w:pPr>
            <w:r w:rsidRPr="006D7B4D">
              <w:rPr>
                <w:sz w:val="20"/>
              </w:rPr>
              <w:t>31 000</w:t>
            </w:r>
          </w:p>
        </w:tc>
      </w:tr>
    </w:tbl>
    <w:p w:rsidR="00667486" w:rsidRDefault="00667486" w:rsidP="00667486">
      <w:pPr>
        <w:pStyle w:val="Paragrafi0"/>
        <w:ind w:left="7200" w:firstLine="0"/>
      </w:pPr>
      <w:r>
        <w:t>Lidhja nr.2</w:t>
      </w:r>
    </w:p>
    <w:p w:rsidR="00667486" w:rsidRDefault="00667486" w:rsidP="00667486">
      <w:pPr>
        <w:pStyle w:val="Paragrafi0"/>
      </w:pPr>
    </w:p>
    <w:p w:rsidR="00667486" w:rsidRDefault="00667486" w:rsidP="00667486">
      <w:pPr>
        <w:pStyle w:val="TitulliTitull"/>
      </w:pPr>
      <w:r>
        <w:t>Klasifikimi i vendeve të punës</w:t>
      </w:r>
    </w:p>
    <w:p w:rsidR="00667486" w:rsidRDefault="00667486" w:rsidP="00667486">
      <w:pPr>
        <w:pStyle w:val="Paragrafi0"/>
      </w:pPr>
    </w:p>
    <w:p w:rsidR="00667486" w:rsidRDefault="00667486" w:rsidP="00667486">
      <w:pPr>
        <w:pStyle w:val="Paragrafi0"/>
      </w:pPr>
      <w:r>
        <w:t>Vendet e punës grupohen në 4 klasa, si më poshtë:</w:t>
      </w:r>
    </w:p>
    <w:p w:rsidR="00667486" w:rsidRDefault="00667486" w:rsidP="00667486">
      <w:pPr>
        <w:pStyle w:val="Paragrafi0"/>
      </w:pPr>
      <w:r>
        <w:t>Klasa I: Ka përgjegjësinë për menaxhimin e institucionit, përcaktimin e strategjisë dhe hartimin e politikave të përgjithshme, në fushat që mbulon institucioni, koordinimin e këtyre politikave të përgjithshme dhe përdorimin efiçent të të gjitha burimeve finaciare, njerëzore etj. për arritjen e rezultateve të përcaktuara, si dhe dhënien e këshillimit përfundimtar dhe të drejtpërdrejtë ministrit ose drejtuesit të institucionit.</w:t>
      </w:r>
    </w:p>
    <w:p w:rsidR="00667486" w:rsidRDefault="00667486" w:rsidP="00667486">
      <w:pPr>
        <w:pStyle w:val="Paragrafi0"/>
      </w:pPr>
      <w:r>
        <w:t>Në këtë klasë bëjnë pjesë kategoritë:</w:t>
      </w:r>
    </w:p>
    <w:p w:rsidR="00667486" w:rsidRDefault="00667486" w:rsidP="00667486">
      <w:pPr>
        <w:pStyle w:val="Paragrafi0"/>
        <w:ind w:left="1440" w:hanging="720"/>
      </w:pPr>
      <w:r>
        <w:t xml:space="preserve">I-a </w:t>
      </w:r>
      <w:r>
        <w:tab/>
        <w:t>Sekretar i Përgjithshëm në Kryeministri, Presidencë, Kuvend, Prokurori të Përgjithshme</w:t>
      </w:r>
    </w:p>
    <w:p w:rsidR="00667486" w:rsidRDefault="00667486" w:rsidP="00667486">
      <w:pPr>
        <w:pStyle w:val="Paragrafi0"/>
        <w:ind w:left="720"/>
      </w:pPr>
      <w:r>
        <w:t>Kancelar i Gjykatës së Lartë</w:t>
      </w:r>
    </w:p>
    <w:p w:rsidR="00667486" w:rsidRDefault="00667486" w:rsidP="00667486">
      <w:pPr>
        <w:pStyle w:val="Paragrafi0"/>
      </w:pPr>
      <w:r>
        <w:t xml:space="preserve">I-b </w:t>
      </w:r>
      <w:r>
        <w:tab/>
        <w:t>Sekretar i Përgjithshëm në ministri</w:t>
      </w:r>
    </w:p>
    <w:p w:rsidR="00667486" w:rsidRDefault="00667486" w:rsidP="00667486">
      <w:pPr>
        <w:pStyle w:val="Paragrafi0"/>
        <w:ind w:left="1440" w:firstLine="0"/>
      </w:pPr>
      <w:r>
        <w:t>Drejtor Departamenti në Këshillin e Ministrave</w:t>
      </w:r>
    </w:p>
    <w:p w:rsidR="00667486" w:rsidRDefault="00667486" w:rsidP="00667486">
      <w:pPr>
        <w:pStyle w:val="Paragrafi0"/>
        <w:ind w:left="720"/>
      </w:pPr>
      <w:r>
        <w:t>Drejtor i Departamentit të Administratës Publike</w:t>
      </w:r>
    </w:p>
    <w:p w:rsidR="00667486" w:rsidRDefault="00667486" w:rsidP="00667486">
      <w:pPr>
        <w:pStyle w:val="Paragrafi0"/>
      </w:pPr>
      <w:r>
        <w:t>Klasa II: Është niveli më i lartë i manaxhimit të një institucioni dhe ka përgjegjësi për hartimin e politikave në një fushë të caktuar dhe për arritjen e rezultateve të përcaktuara në këtë fushë.</w:t>
      </w:r>
    </w:p>
    <w:p w:rsidR="00667486" w:rsidRDefault="00667486" w:rsidP="00667486">
      <w:pPr>
        <w:pStyle w:val="Paragrafi0"/>
      </w:pPr>
      <w:r>
        <w:t>Në këtë klasë bëjnë pjesë kategoritë:</w:t>
      </w:r>
    </w:p>
    <w:p w:rsidR="00667486" w:rsidRDefault="00667486" w:rsidP="00667486">
      <w:pPr>
        <w:pStyle w:val="Paragrafi0"/>
      </w:pPr>
      <w:r>
        <w:t xml:space="preserve">II-a </w:t>
      </w:r>
      <w:r>
        <w:tab/>
        <w:t>Drejtor i Drejtorisë së Përgjithshme</w:t>
      </w:r>
    </w:p>
    <w:p w:rsidR="00667486" w:rsidRDefault="00667486" w:rsidP="00667486">
      <w:pPr>
        <w:pStyle w:val="Paragrafi0"/>
      </w:pPr>
      <w:r>
        <w:t xml:space="preserve">II-b </w:t>
      </w:r>
      <w:r>
        <w:tab/>
        <w:t>Drejtor Drejtorie</w:t>
      </w:r>
    </w:p>
    <w:p w:rsidR="00667486" w:rsidRDefault="00667486" w:rsidP="00667486">
      <w:pPr>
        <w:pStyle w:val="Paragrafi0"/>
      </w:pPr>
      <w:r>
        <w:t>Klasa III: Bën të mundur koordinimin e mendimit dhe opsioneve të reja politike për një fushë të caktuar të specialitetit, zbatimin e politikave në këtë nivel, përgatitjen e propozimeve përfundimtare të cilat duhen aprovuar nga niveli menaxhues më i lartë. Kjo klasë bën të mundur gjithashtu edhe zgjidhjen e problemeve komplekse që lidhen me menaxhimin e projekteve të mëdha ose sektorëve/njësive brenda institucionit.</w:t>
      </w:r>
    </w:p>
    <w:p w:rsidR="00667486" w:rsidRDefault="00667486" w:rsidP="00667486">
      <w:pPr>
        <w:pStyle w:val="Paragrafi0"/>
      </w:pPr>
      <w:r>
        <w:t>Në këtë klasë bëjnë pjesë kategoritë:</w:t>
      </w:r>
    </w:p>
    <w:p w:rsidR="00667486" w:rsidRDefault="00667486" w:rsidP="00667486">
      <w:pPr>
        <w:pStyle w:val="Paragrafi0"/>
      </w:pPr>
      <w:r>
        <w:t xml:space="preserve">III-a </w:t>
      </w:r>
      <w:r>
        <w:tab/>
        <w:t>Përgjegjës sektori</w:t>
      </w:r>
    </w:p>
    <w:p w:rsidR="00667486" w:rsidRDefault="00667486" w:rsidP="00667486">
      <w:pPr>
        <w:pStyle w:val="Paragrafi0"/>
      </w:pPr>
      <w:r>
        <w:t xml:space="preserve">III-a/1 </w:t>
      </w:r>
      <w:r>
        <w:tab/>
        <w:t>Përgjegjës sektori</w:t>
      </w:r>
    </w:p>
    <w:p w:rsidR="00667486" w:rsidRDefault="00667486" w:rsidP="00667486">
      <w:pPr>
        <w:pStyle w:val="Paragrafi0"/>
      </w:pPr>
      <w:r>
        <w:t xml:space="preserve">III-b </w:t>
      </w:r>
      <w:r>
        <w:tab/>
        <w:t>Specialist i nivelit të lartë</w:t>
      </w:r>
    </w:p>
    <w:p w:rsidR="00667486" w:rsidRDefault="00667486" w:rsidP="00667486">
      <w:pPr>
        <w:pStyle w:val="Paragrafi0"/>
      </w:pPr>
      <w:r>
        <w:t>Klasa IV: Kjo klasë merret me zbatimin e politikave ekzistuese, koordinimin e aktiviteteve të stafit mbështetës, si dhe me formulimin dhe vlerësimin e opsioneve politike mbi një fushë të caktuar, duke u bazuar në eksperiencën profesionale të fushës, njohuritë e specialitetit, analizën e informacionit dhe kërkimin.</w:t>
      </w:r>
    </w:p>
    <w:p w:rsidR="00667486" w:rsidRDefault="00667486" w:rsidP="00667486">
      <w:pPr>
        <w:pStyle w:val="Paragrafi0"/>
      </w:pPr>
      <w:r>
        <w:t>Në këtë klasë bëjnë pjesë kategoritë:</w:t>
      </w:r>
    </w:p>
    <w:p w:rsidR="00667486" w:rsidRDefault="00667486" w:rsidP="00667486">
      <w:pPr>
        <w:pStyle w:val="Paragrafi0"/>
      </w:pPr>
      <w:r>
        <w:t xml:space="preserve">IV-a </w:t>
      </w:r>
      <w:r>
        <w:tab/>
        <w:t>Specialist i nivelit të mesëm</w:t>
      </w:r>
    </w:p>
    <w:p w:rsidR="00667486" w:rsidRDefault="00667486" w:rsidP="00667486">
      <w:pPr>
        <w:pStyle w:val="Paragrafi0"/>
      </w:pPr>
      <w:r>
        <w:t xml:space="preserve">IV-b </w:t>
      </w:r>
      <w:r>
        <w:tab/>
        <w:t>Specialist</w:t>
      </w:r>
    </w:p>
    <w:sectPr w:rsidR="006674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7486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67486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947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4DE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E10557-7089-489F-A51E-02955C820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486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6674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