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FD2" w:rsidRPr="00F5690D" w:rsidRDefault="00E43FD2" w:rsidP="00E43FD2">
      <w:pPr>
        <w:pStyle w:val="Akti"/>
        <w:keepNext w:val="0"/>
        <w:rPr>
          <w:sz w:val="21"/>
          <w:szCs w:val="21"/>
        </w:rPr>
      </w:pPr>
      <w:bookmarkStart w:id="0" w:name="_GoBack"/>
      <w:bookmarkEnd w:id="0"/>
      <w:r w:rsidRPr="00F5690D">
        <w:rPr>
          <w:sz w:val="21"/>
          <w:szCs w:val="21"/>
        </w:rPr>
        <w:t>Vendim</w:t>
      </w:r>
    </w:p>
    <w:p w:rsidR="00E43FD2" w:rsidRPr="00F5690D" w:rsidRDefault="00E43FD2" w:rsidP="00E43FD2">
      <w:pPr>
        <w:pStyle w:val="NumriData"/>
        <w:keepNext w:val="0"/>
        <w:rPr>
          <w:sz w:val="21"/>
          <w:szCs w:val="21"/>
        </w:rPr>
      </w:pPr>
      <w:r w:rsidRPr="00F5690D">
        <w:rPr>
          <w:sz w:val="21"/>
          <w:szCs w:val="21"/>
        </w:rPr>
        <w:t>Nr.528, datë 27.4.2009</w:t>
      </w:r>
    </w:p>
    <w:p w:rsidR="00E43FD2" w:rsidRPr="00F5690D" w:rsidRDefault="00E43FD2" w:rsidP="00E43FD2">
      <w:pPr>
        <w:pStyle w:val="Paragrafi0"/>
        <w:rPr>
          <w:sz w:val="21"/>
          <w:szCs w:val="21"/>
        </w:rPr>
      </w:pPr>
    </w:p>
    <w:p w:rsidR="00E43FD2" w:rsidRPr="00F5690D" w:rsidRDefault="00E43FD2" w:rsidP="00E43FD2">
      <w:pPr>
        <w:pStyle w:val="Titulli0"/>
        <w:keepNext w:val="0"/>
        <w:rPr>
          <w:sz w:val="21"/>
          <w:szCs w:val="21"/>
        </w:rPr>
      </w:pPr>
      <w:r w:rsidRPr="00F5690D">
        <w:rPr>
          <w:sz w:val="21"/>
          <w:szCs w:val="21"/>
        </w:rPr>
        <w:t>Për një ndryshim në vendimin nr.932, datë 2.7.2008 të këshillit të ministrave “Për përcaktimin e pagave dhe te shtesave mbi pagë të punonjësve shqiptarë, për kohën që shërbejnë si oficerë kontakti, pranë ministrive të brendshme, homologe të shteteve të ndryshme, të atashuara në përfaqësitë diplomatike të republikës së shqipërisë“, të ndryshuar</w:t>
      </w:r>
    </w:p>
    <w:p w:rsidR="00E43FD2" w:rsidRPr="00F5690D" w:rsidRDefault="00E43FD2" w:rsidP="00E43FD2">
      <w:pPr>
        <w:pStyle w:val="Paragrafi0"/>
        <w:rPr>
          <w:sz w:val="21"/>
          <w:szCs w:val="21"/>
        </w:rPr>
      </w:pPr>
    </w:p>
    <w:p w:rsidR="00E43FD2" w:rsidRPr="00F5690D" w:rsidRDefault="00E43FD2" w:rsidP="00E43FD2">
      <w:pPr>
        <w:pStyle w:val="BazLigjPropozues"/>
        <w:keepNext w:val="0"/>
        <w:rPr>
          <w:sz w:val="21"/>
          <w:szCs w:val="21"/>
        </w:rPr>
      </w:pPr>
      <w:r w:rsidRPr="00F5690D">
        <w:rPr>
          <w:sz w:val="21"/>
          <w:szCs w:val="21"/>
        </w:rPr>
        <w:t>Në mbështetje të nenit 100 të Kushtetutës, të nenit 5/1 të ligjit nr.8487, datë 13.5.1999 “Për kompetencat për caktimin e pagave të punës”, të ndryshuar, të neneve 10 e 47 të ligjit nr.9749, datë 4.6.2007 “Për Policin</w:t>
      </w:r>
      <w:r>
        <w:rPr>
          <w:sz w:val="21"/>
          <w:szCs w:val="21"/>
        </w:rPr>
        <w:t>ë</w:t>
      </w:r>
      <w:r w:rsidRPr="00F5690D">
        <w:rPr>
          <w:sz w:val="21"/>
          <w:szCs w:val="21"/>
        </w:rPr>
        <w:t xml:space="preserve"> e Shtetit”, dhe të ligjit nr.10 025, datë 27.11.2008 “Për buxhetin e viti 2009”, me propozimin e Ministrit të Brendshëm dhe të Ministrit të Financave, Këshilli i Ministrave</w:t>
      </w:r>
    </w:p>
    <w:p w:rsidR="00E43FD2" w:rsidRPr="00F5690D" w:rsidRDefault="00E43FD2" w:rsidP="00E43FD2">
      <w:pPr>
        <w:pStyle w:val="Paragrafi0"/>
        <w:rPr>
          <w:sz w:val="21"/>
          <w:szCs w:val="21"/>
        </w:rPr>
      </w:pPr>
    </w:p>
    <w:p w:rsidR="00E43FD2" w:rsidRPr="00F5690D" w:rsidRDefault="00E43FD2" w:rsidP="00E43FD2">
      <w:pPr>
        <w:pStyle w:val="VENDOSI0"/>
        <w:keepNext w:val="0"/>
        <w:rPr>
          <w:sz w:val="21"/>
          <w:szCs w:val="21"/>
        </w:rPr>
      </w:pPr>
      <w:r w:rsidRPr="00F5690D">
        <w:rPr>
          <w:sz w:val="21"/>
          <w:szCs w:val="21"/>
        </w:rPr>
        <w:t>Vendosi:</w:t>
      </w:r>
    </w:p>
    <w:p w:rsidR="00E43FD2" w:rsidRPr="00F5690D" w:rsidRDefault="00E43FD2" w:rsidP="00E43FD2">
      <w:pPr>
        <w:pStyle w:val="Paragrafi0"/>
        <w:rPr>
          <w:sz w:val="21"/>
          <w:szCs w:val="21"/>
        </w:rPr>
      </w:pPr>
    </w:p>
    <w:p w:rsidR="00E43FD2" w:rsidRPr="00F5690D" w:rsidRDefault="00E43FD2" w:rsidP="00E43FD2">
      <w:pPr>
        <w:pStyle w:val="Paragrafi0"/>
        <w:rPr>
          <w:sz w:val="21"/>
          <w:szCs w:val="21"/>
        </w:rPr>
      </w:pPr>
      <w:r w:rsidRPr="00F5690D">
        <w:rPr>
          <w:sz w:val="21"/>
          <w:szCs w:val="21"/>
        </w:rPr>
        <w:t>1. Lidhja nr.1, që përmendet në pikën 1 të vendimit nr.932, datë 2.7.2008 të Këshillit t</w:t>
      </w:r>
      <w:r>
        <w:rPr>
          <w:sz w:val="21"/>
          <w:szCs w:val="21"/>
        </w:rPr>
        <w:t>ë Ministrave, të zëvendësohet me</w:t>
      </w:r>
      <w:r w:rsidRPr="00F5690D">
        <w:rPr>
          <w:sz w:val="21"/>
          <w:szCs w:val="21"/>
        </w:rPr>
        <w:t xml:space="preserve"> lidhjen me të njëjtin numër dhe titull, që i bashkëlidhet këtij vendimi dhe është pjesë përbërëse e tij.</w:t>
      </w:r>
    </w:p>
    <w:p w:rsidR="00E43FD2" w:rsidRPr="00F5690D" w:rsidRDefault="00E43FD2" w:rsidP="00E43FD2">
      <w:pPr>
        <w:pStyle w:val="Paragrafi0"/>
        <w:rPr>
          <w:sz w:val="21"/>
          <w:szCs w:val="21"/>
        </w:rPr>
      </w:pPr>
      <w:r w:rsidRPr="00F5690D">
        <w:rPr>
          <w:sz w:val="21"/>
          <w:szCs w:val="21"/>
        </w:rPr>
        <w:t>2. Efektet financiare për vitin 2009, që rrjedhin nga zbatimi i këtij vendimi, të përballohen nga fondet buxhetore të këtij viti, të planifikuara për politikën e pagave.</w:t>
      </w:r>
    </w:p>
    <w:p w:rsidR="00E43FD2" w:rsidRPr="00F5690D" w:rsidRDefault="00E43FD2" w:rsidP="00E43FD2">
      <w:pPr>
        <w:pStyle w:val="Paragrafi0"/>
        <w:rPr>
          <w:sz w:val="21"/>
          <w:szCs w:val="21"/>
        </w:rPr>
      </w:pPr>
      <w:r w:rsidRPr="00F5690D">
        <w:rPr>
          <w:sz w:val="21"/>
          <w:szCs w:val="21"/>
        </w:rPr>
        <w:t>Ky vendim hyn në fuqi pas botimit në Fletoren Zyrtare dhe i shtrin efektet financiare nga data 1 maj 2009.</w:t>
      </w:r>
    </w:p>
    <w:p w:rsidR="00E43FD2" w:rsidRPr="00F5690D" w:rsidRDefault="00E43FD2" w:rsidP="00E43FD2">
      <w:pPr>
        <w:pStyle w:val="Paragrafi0"/>
        <w:rPr>
          <w:sz w:val="21"/>
          <w:szCs w:val="21"/>
        </w:rPr>
      </w:pPr>
    </w:p>
    <w:p w:rsidR="00E43FD2" w:rsidRPr="00F5690D" w:rsidRDefault="00E43FD2" w:rsidP="00E43FD2">
      <w:pPr>
        <w:pStyle w:val="Autoriteti"/>
        <w:keepNext w:val="0"/>
        <w:rPr>
          <w:sz w:val="21"/>
          <w:szCs w:val="21"/>
        </w:rPr>
      </w:pPr>
      <w:r w:rsidRPr="00F5690D">
        <w:rPr>
          <w:sz w:val="21"/>
          <w:szCs w:val="21"/>
        </w:rPr>
        <w:t>KRYEMINISTRI</w:t>
      </w:r>
    </w:p>
    <w:p w:rsidR="00E43FD2" w:rsidRPr="00F5690D" w:rsidRDefault="00E43FD2" w:rsidP="00E43FD2">
      <w:pPr>
        <w:pStyle w:val="AutoritetiEmer"/>
        <w:rPr>
          <w:sz w:val="21"/>
          <w:szCs w:val="21"/>
        </w:rPr>
      </w:pPr>
      <w:r w:rsidRPr="00F5690D">
        <w:rPr>
          <w:sz w:val="21"/>
          <w:szCs w:val="21"/>
        </w:rPr>
        <w:t>Sali Berisha</w:t>
      </w:r>
    </w:p>
    <w:p w:rsidR="00E43FD2" w:rsidRDefault="00E43FD2" w:rsidP="00E43FD2">
      <w:pPr>
        <w:pStyle w:val="Paragrafi0"/>
      </w:pPr>
    </w:p>
    <w:p w:rsidR="00E43FD2" w:rsidRPr="007D0998" w:rsidRDefault="00E43FD2" w:rsidP="00E43FD2">
      <w:pPr>
        <w:pStyle w:val="Paragrafi0"/>
        <w:jc w:val="right"/>
        <w:rPr>
          <w:sz w:val="21"/>
          <w:szCs w:val="21"/>
        </w:rPr>
      </w:pPr>
      <w:r w:rsidRPr="007D0998">
        <w:rPr>
          <w:sz w:val="21"/>
          <w:szCs w:val="21"/>
        </w:rPr>
        <w:t>Lidhja nr.1</w:t>
      </w:r>
    </w:p>
    <w:p w:rsidR="00E43FD2" w:rsidRPr="007D0998" w:rsidRDefault="00E43FD2" w:rsidP="00E43FD2">
      <w:pPr>
        <w:pStyle w:val="Paragrafi0"/>
        <w:rPr>
          <w:sz w:val="21"/>
          <w:szCs w:val="21"/>
        </w:rPr>
      </w:pPr>
    </w:p>
    <w:p w:rsidR="00E43FD2" w:rsidRPr="00E608D9" w:rsidRDefault="00E43FD2" w:rsidP="00E43FD2">
      <w:pPr>
        <w:pStyle w:val="Akti"/>
        <w:keepNext w:val="0"/>
        <w:rPr>
          <w:b w:val="0"/>
          <w:sz w:val="21"/>
          <w:szCs w:val="21"/>
        </w:rPr>
      </w:pPr>
      <w:r w:rsidRPr="00E608D9">
        <w:rPr>
          <w:b w:val="0"/>
          <w:sz w:val="21"/>
          <w:szCs w:val="21"/>
        </w:rPr>
        <w:t>paga mujore e oficerëve të kontaktit, të ministrisë së Brendshme, të atashuar në përfaqësitë diplomatike të republikËs së shqipërisë</w:t>
      </w:r>
    </w:p>
    <w:p w:rsidR="00E43FD2" w:rsidRPr="007D0998" w:rsidRDefault="00E43FD2" w:rsidP="00E43FD2">
      <w:pPr>
        <w:pStyle w:val="Akti"/>
        <w:keepNext w:val="0"/>
        <w:rPr>
          <w:sz w:val="21"/>
          <w:szCs w:val="21"/>
        </w:rPr>
      </w:pPr>
    </w:p>
    <w:tbl>
      <w:tblPr>
        <w:tblStyle w:val="TableGrid"/>
        <w:tblW w:w="0" w:type="auto"/>
        <w:jc w:val="center"/>
        <w:tblLook w:val="01E0" w:firstRow="1" w:lastRow="1" w:firstColumn="1" w:lastColumn="1" w:noHBand="0" w:noVBand="0"/>
      </w:tblPr>
      <w:tblGrid>
        <w:gridCol w:w="1506"/>
        <w:gridCol w:w="3848"/>
        <w:gridCol w:w="2904"/>
      </w:tblGrid>
      <w:tr w:rsidR="00E43FD2" w:rsidRPr="007D0998" w:rsidTr="00E43FD2">
        <w:trPr>
          <w:jc w:val="center"/>
        </w:trPr>
        <w:tc>
          <w:tcPr>
            <w:tcW w:w="0" w:type="auto"/>
          </w:tcPr>
          <w:p w:rsidR="00E43FD2" w:rsidRPr="007D0998" w:rsidRDefault="00E43FD2" w:rsidP="00E43FD2">
            <w:pPr>
              <w:pStyle w:val="Akti"/>
              <w:keepNext w:val="0"/>
              <w:rPr>
                <w:sz w:val="21"/>
                <w:szCs w:val="21"/>
              </w:rPr>
            </w:pPr>
            <w:r w:rsidRPr="007D0998">
              <w:rPr>
                <w:caps w:val="0"/>
                <w:sz w:val="21"/>
                <w:szCs w:val="21"/>
              </w:rPr>
              <w:t>Pozicioni</w:t>
            </w:r>
          </w:p>
        </w:tc>
        <w:tc>
          <w:tcPr>
            <w:tcW w:w="0" w:type="auto"/>
            <w:gridSpan w:val="2"/>
          </w:tcPr>
          <w:p w:rsidR="00E43FD2" w:rsidRPr="007D0998" w:rsidRDefault="00E43FD2" w:rsidP="00E43FD2">
            <w:pPr>
              <w:pStyle w:val="Akti"/>
              <w:keepNext w:val="0"/>
              <w:rPr>
                <w:sz w:val="21"/>
                <w:szCs w:val="21"/>
              </w:rPr>
            </w:pPr>
            <w:r w:rsidRPr="007D0998">
              <w:rPr>
                <w:sz w:val="21"/>
                <w:szCs w:val="21"/>
              </w:rPr>
              <w:t>paga mujore</w:t>
            </w:r>
          </w:p>
        </w:tc>
      </w:tr>
      <w:tr w:rsidR="00E43FD2" w:rsidRPr="007D0998" w:rsidTr="00E43FD2">
        <w:trPr>
          <w:jc w:val="center"/>
        </w:trPr>
        <w:tc>
          <w:tcPr>
            <w:tcW w:w="0" w:type="auto"/>
          </w:tcPr>
          <w:p w:rsidR="00E43FD2" w:rsidRPr="007D0998" w:rsidRDefault="00E43FD2" w:rsidP="00E43FD2">
            <w:pPr>
              <w:pStyle w:val="Tabele"/>
              <w:widowControl w:val="0"/>
              <w:jc w:val="center"/>
              <w:rPr>
                <w:sz w:val="21"/>
                <w:szCs w:val="21"/>
              </w:rPr>
            </w:pPr>
          </w:p>
        </w:tc>
        <w:tc>
          <w:tcPr>
            <w:tcW w:w="0" w:type="auto"/>
          </w:tcPr>
          <w:p w:rsidR="00E43FD2" w:rsidRPr="007D0998" w:rsidRDefault="00E43FD2" w:rsidP="00E43FD2">
            <w:pPr>
              <w:pStyle w:val="Tabele"/>
              <w:widowControl w:val="0"/>
              <w:jc w:val="center"/>
              <w:rPr>
                <w:sz w:val="21"/>
                <w:szCs w:val="21"/>
              </w:rPr>
            </w:pPr>
            <w:r w:rsidRPr="007D0998">
              <w:rPr>
                <w:sz w:val="21"/>
                <w:szCs w:val="21"/>
              </w:rPr>
              <w:t>Paga bazë mujore (në euro dhe në dollarë)</w:t>
            </w:r>
          </w:p>
        </w:tc>
        <w:tc>
          <w:tcPr>
            <w:tcW w:w="0" w:type="auto"/>
          </w:tcPr>
          <w:p w:rsidR="00E43FD2" w:rsidRPr="007D0998" w:rsidRDefault="00E43FD2" w:rsidP="00E43FD2">
            <w:pPr>
              <w:pStyle w:val="Tabele"/>
              <w:widowControl w:val="0"/>
              <w:jc w:val="center"/>
              <w:rPr>
                <w:sz w:val="21"/>
                <w:szCs w:val="21"/>
              </w:rPr>
            </w:pPr>
            <w:r w:rsidRPr="007D0998">
              <w:rPr>
                <w:sz w:val="21"/>
                <w:szCs w:val="21"/>
              </w:rPr>
              <w:t>Shtesa për përfaqësimin (në %)</w:t>
            </w:r>
          </w:p>
        </w:tc>
      </w:tr>
      <w:tr w:rsidR="00E43FD2" w:rsidRPr="007D0998" w:rsidTr="00E43FD2">
        <w:trPr>
          <w:jc w:val="center"/>
        </w:trPr>
        <w:tc>
          <w:tcPr>
            <w:tcW w:w="0" w:type="auto"/>
          </w:tcPr>
          <w:p w:rsidR="00E43FD2" w:rsidRPr="007D0998" w:rsidRDefault="00E43FD2" w:rsidP="00E43FD2">
            <w:pPr>
              <w:pStyle w:val="Tabele"/>
              <w:widowControl w:val="0"/>
              <w:rPr>
                <w:sz w:val="21"/>
                <w:szCs w:val="21"/>
              </w:rPr>
            </w:pPr>
          </w:p>
        </w:tc>
        <w:tc>
          <w:tcPr>
            <w:tcW w:w="0" w:type="auto"/>
          </w:tcPr>
          <w:p w:rsidR="00E43FD2" w:rsidRPr="007D0998" w:rsidRDefault="00E43FD2" w:rsidP="00E43FD2">
            <w:pPr>
              <w:pStyle w:val="Tabele"/>
              <w:widowControl w:val="0"/>
              <w:rPr>
                <w:sz w:val="21"/>
                <w:szCs w:val="21"/>
              </w:rPr>
            </w:pPr>
          </w:p>
        </w:tc>
        <w:tc>
          <w:tcPr>
            <w:tcW w:w="0" w:type="auto"/>
          </w:tcPr>
          <w:p w:rsidR="00E43FD2" w:rsidRPr="007D0998" w:rsidRDefault="00E43FD2" w:rsidP="00E43FD2">
            <w:pPr>
              <w:pStyle w:val="Tabele"/>
              <w:widowControl w:val="0"/>
              <w:rPr>
                <w:sz w:val="21"/>
                <w:szCs w:val="21"/>
              </w:rPr>
            </w:pPr>
          </w:p>
        </w:tc>
      </w:tr>
      <w:tr w:rsidR="00E43FD2" w:rsidRPr="007D0998" w:rsidTr="00E43FD2">
        <w:trPr>
          <w:jc w:val="center"/>
        </w:trPr>
        <w:tc>
          <w:tcPr>
            <w:tcW w:w="0" w:type="auto"/>
          </w:tcPr>
          <w:p w:rsidR="00E43FD2" w:rsidRPr="007D0998" w:rsidRDefault="00E43FD2" w:rsidP="00E43FD2">
            <w:pPr>
              <w:pStyle w:val="Tabele"/>
              <w:widowControl w:val="0"/>
              <w:rPr>
                <w:sz w:val="21"/>
                <w:szCs w:val="21"/>
              </w:rPr>
            </w:pPr>
            <w:r w:rsidRPr="007D0998">
              <w:rPr>
                <w:sz w:val="21"/>
                <w:szCs w:val="21"/>
              </w:rPr>
              <w:t>Oficer kontakti</w:t>
            </w:r>
          </w:p>
          <w:p w:rsidR="00E43FD2" w:rsidRPr="007D0998" w:rsidRDefault="00E43FD2" w:rsidP="00E43FD2">
            <w:pPr>
              <w:pStyle w:val="Tabele"/>
              <w:widowControl w:val="0"/>
              <w:rPr>
                <w:sz w:val="21"/>
                <w:szCs w:val="21"/>
              </w:rPr>
            </w:pPr>
          </w:p>
        </w:tc>
        <w:tc>
          <w:tcPr>
            <w:tcW w:w="0" w:type="auto"/>
          </w:tcPr>
          <w:p w:rsidR="00E43FD2" w:rsidRPr="007D0998" w:rsidRDefault="00E43FD2" w:rsidP="00E43FD2">
            <w:pPr>
              <w:pStyle w:val="Tabele"/>
              <w:widowControl w:val="0"/>
              <w:jc w:val="center"/>
              <w:rPr>
                <w:sz w:val="21"/>
                <w:szCs w:val="21"/>
              </w:rPr>
            </w:pPr>
            <w:r w:rsidRPr="007D0998">
              <w:rPr>
                <w:sz w:val="21"/>
                <w:szCs w:val="21"/>
              </w:rPr>
              <w:t>805 euro</w:t>
            </w:r>
          </w:p>
          <w:p w:rsidR="00E43FD2" w:rsidRPr="007D0998" w:rsidRDefault="00E43FD2" w:rsidP="00E43FD2">
            <w:pPr>
              <w:pStyle w:val="Tabele"/>
              <w:widowControl w:val="0"/>
              <w:jc w:val="center"/>
              <w:rPr>
                <w:sz w:val="21"/>
                <w:szCs w:val="21"/>
              </w:rPr>
            </w:pPr>
            <w:r w:rsidRPr="007D0998">
              <w:rPr>
                <w:sz w:val="21"/>
                <w:szCs w:val="21"/>
              </w:rPr>
              <w:t>1020 dollarë USD</w:t>
            </w:r>
          </w:p>
        </w:tc>
        <w:tc>
          <w:tcPr>
            <w:tcW w:w="0" w:type="auto"/>
          </w:tcPr>
          <w:p w:rsidR="00E43FD2" w:rsidRPr="007D0998" w:rsidRDefault="00E43FD2" w:rsidP="00E43FD2">
            <w:pPr>
              <w:pStyle w:val="Tabele"/>
              <w:widowControl w:val="0"/>
              <w:jc w:val="center"/>
              <w:rPr>
                <w:sz w:val="21"/>
                <w:szCs w:val="21"/>
              </w:rPr>
            </w:pPr>
            <w:r w:rsidRPr="007D0998">
              <w:rPr>
                <w:sz w:val="21"/>
                <w:szCs w:val="21"/>
              </w:rPr>
              <w:t>40%</w:t>
            </w:r>
          </w:p>
        </w:tc>
      </w:tr>
    </w:tbl>
    <w:p w:rsidR="00E43FD2" w:rsidRDefault="00E43FD2" w:rsidP="00E43FD2">
      <w:pPr>
        <w:pStyle w:val="Akti"/>
        <w:keepNext w:val="0"/>
      </w:pPr>
    </w:p>
    <w:p w:rsidR="00E43FD2" w:rsidRDefault="00E43FD2" w:rsidP="00E43FD2">
      <w:pPr>
        <w:pStyle w:val="Akti"/>
        <w:keepNext w:val="0"/>
        <w:jc w:val="left"/>
      </w:pPr>
    </w:p>
    <w:sectPr w:rsidR="00E43F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43FD2"/>
    <w:rsid w:val="00001ED4"/>
    <w:rsid w:val="0000253A"/>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31B3"/>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2711"/>
    <w:rsid w:val="005B2E51"/>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407"/>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58C"/>
    <w:rsid w:val="00CE086B"/>
    <w:rsid w:val="00CE179E"/>
    <w:rsid w:val="00CE3B1B"/>
    <w:rsid w:val="00CE4D53"/>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3FD2"/>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BCF066-56F2-484F-9FF7-BD5BD7D6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FD2"/>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E43FD2"/>
    <w:rPr>
      <w:rFonts w:ascii="CG Times" w:eastAsia="MS Mincho" w:hAnsi="CG Times"/>
      <w:caps/>
      <w:sz w:val="22"/>
      <w:szCs w:val="22"/>
      <w:lang w:val="en-GB" w:eastAsia="en-US" w:bidi="ar-SA"/>
    </w:rPr>
  </w:style>
  <w:style w:type="table" w:styleId="TableGrid">
    <w:name w:val="Table Grid"/>
    <w:basedOn w:val="TableNormal"/>
    <w:rsid w:val="00E43F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2019-03-18T13:29:00Z</dcterms:created>
  <dcterms:modified xsi:type="dcterms:W3CDTF">2019-03-18T13:29:00Z</dcterms:modified>
</cp:coreProperties>
</file>