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CE9" w:rsidRPr="0013647D" w:rsidRDefault="00912CE9" w:rsidP="00912CE9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13647D">
        <w:rPr>
          <w:sz w:val="21"/>
          <w:szCs w:val="21"/>
        </w:rPr>
        <w:t>VENDIM</w:t>
      </w:r>
    </w:p>
    <w:p w:rsidR="00912CE9" w:rsidRPr="0013647D" w:rsidRDefault="00912CE9" w:rsidP="00912CE9">
      <w:pPr>
        <w:pStyle w:val="NumriData"/>
        <w:keepNext w:val="0"/>
        <w:rPr>
          <w:sz w:val="21"/>
          <w:szCs w:val="21"/>
        </w:rPr>
      </w:pPr>
      <w:r w:rsidRPr="0013647D">
        <w:rPr>
          <w:sz w:val="21"/>
          <w:szCs w:val="21"/>
        </w:rPr>
        <w:t>Nr.487, datë 6.5.2009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</w:p>
    <w:p w:rsidR="00912CE9" w:rsidRPr="0013647D" w:rsidRDefault="00912CE9" w:rsidP="00912CE9">
      <w:pPr>
        <w:pStyle w:val="Titulli0"/>
        <w:keepNext w:val="0"/>
        <w:rPr>
          <w:sz w:val="21"/>
          <w:szCs w:val="21"/>
        </w:rPr>
      </w:pPr>
      <w:r w:rsidRPr="0013647D">
        <w:rPr>
          <w:sz w:val="21"/>
          <w:szCs w:val="21"/>
        </w:rPr>
        <w:t>PËR PËRCAKTIMIN E RREGULLAVE DHE TË KRITEREVE PËR SHPËRNDARJEN E FONDIT TË KOMPENSIMIT, TË PRONARËVE, NË TË HOLLA, PËR VITIN 2009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</w:p>
    <w:p w:rsidR="00912CE9" w:rsidRPr="0013647D" w:rsidRDefault="00912CE9" w:rsidP="00912CE9">
      <w:pPr>
        <w:pStyle w:val="BazLigjPropozues"/>
        <w:keepNext w:val="0"/>
        <w:rPr>
          <w:sz w:val="21"/>
          <w:szCs w:val="21"/>
        </w:rPr>
      </w:pPr>
      <w:r w:rsidRPr="0013647D">
        <w:rPr>
          <w:sz w:val="21"/>
          <w:szCs w:val="21"/>
        </w:rPr>
        <w:t>Në mbështetje të nenit 100 të Kushtetutës dhe të neneve 11, shkronja “d”, pika 1 e 17 të ligjit nr.9235, datë 29.7.2004 “Për kthimin dhe kompensimin e pronës”,</w:t>
      </w:r>
      <w:r>
        <w:rPr>
          <w:sz w:val="21"/>
          <w:szCs w:val="21"/>
        </w:rPr>
        <w:t xml:space="preserve"> të ndryshuar, me propozimin e M</w:t>
      </w:r>
      <w:r w:rsidRPr="0013647D">
        <w:rPr>
          <w:sz w:val="21"/>
          <w:szCs w:val="21"/>
        </w:rPr>
        <w:t>inistrit të Drejtësisë, Këshilli i Ministrave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 </w:t>
      </w:r>
    </w:p>
    <w:p w:rsidR="00912CE9" w:rsidRPr="0013647D" w:rsidRDefault="00912CE9" w:rsidP="00912CE9">
      <w:pPr>
        <w:pStyle w:val="VENDOSI0"/>
        <w:keepNext w:val="0"/>
        <w:rPr>
          <w:sz w:val="21"/>
          <w:szCs w:val="21"/>
        </w:rPr>
      </w:pPr>
      <w:r w:rsidRPr="0013647D">
        <w:rPr>
          <w:sz w:val="21"/>
          <w:szCs w:val="21"/>
        </w:rPr>
        <w:t>VENDOSI: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1. Subjektet e shpronësuara, prona e të cilave është njohur e gjitha për kompensim, të kompensohen sipas radhës kronologjike, të përcaktuar nga numri dhe data e vendimit, vetëm nëse nuk kanë përfituar: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a) nga kompensimet e mëparshme;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b) kthim fizik të pjes</w:t>
      </w:r>
      <w:r>
        <w:rPr>
          <w:sz w:val="21"/>
          <w:szCs w:val="21"/>
        </w:rPr>
        <w:t>s</w:t>
      </w:r>
      <w:r w:rsidRPr="0013647D">
        <w:rPr>
          <w:sz w:val="21"/>
          <w:szCs w:val="21"/>
        </w:rPr>
        <w:t>hëm të pronës, me çdo vendim për atë subjekt;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c) nga e drejta e parablerjes;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ç) nga zbatimi i ligjit nr.7501, datë 19.7.1991 “Për tokën”.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Në rastin e vendimeve, të cilat janë ndryshuar pjesërisht, për efekt klasifikimi do të merret numri dhe data e vendimit bazë, që është më i hershëm në radhë kronologjike për njohjen, kthimin dhe kompensimin e asaj prone.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2. Kompensimi të bëhet vetëm për deri 200 (dyqind) m</w:t>
      </w:r>
      <w:r w:rsidRPr="008F6CD2">
        <w:rPr>
          <w:sz w:val="21"/>
          <w:szCs w:val="21"/>
          <w:vertAlign w:val="superscript"/>
        </w:rPr>
        <w:t>2</w:t>
      </w:r>
      <w:r w:rsidRPr="0013647D">
        <w:rPr>
          <w:sz w:val="21"/>
          <w:szCs w:val="21"/>
        </w:rPr>
        <w:t xml:space="preserve">  të sipërfaqes truall, të caktuar për kompensim, në bazë të çmimit të përcaktuar në hartën e vlerës së miratuar, sipas vendndodhjes së pronës, që kompensohet.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3. Subjektet, që kanë depozituar kërkesat e tyre në vitet 2006, 2007, 2008 dhe që vërtetojnë kryerjen e pagesës, nuk paguajnë tarifën e aplikimit për vitin 2009.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4. Subjekti duhet të plotësojë dhe të paraqesë, pranë zyrës së AKKP-së në qendër, dokumentacionin e mëposhtëm: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a) Kërkesën për kompensim në të holla, sipas formularit 1, që i bashkëlidhet këtij vendimi.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b) Deklaratën për pranimin e kritereve për kompensim, sipas vendimit përkatës të Këshillit të Ministrave, dhe të kushteve të tjera, që lidhen me kriteret, sipas formularit 2, që i bashkëlidhet këtij vendimi.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c) Vendimin e Komisionit të Kthimit dhe Kompensimit të Pronave ose të Agjencisë së Kthimit dhe Kompensimit të Pronave, për njohjen dhe kompensimin e pronës, së bashku me planvendosjen përkatëse, të njehsuara nga institucioni, ku ato janë të arkivuara.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ç) Dëshminë e trashëgimisë;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d) Prokurën e posaçme, të nënshkruar nga të gjithë trashëgimtarët e ligjshëm, ku si tagër i nevojshëm të jetë edhe e drejta për të tërhequr vlerën financiare, në emër të subjektit të shpronësuar;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dh) Fotokopjen e noterizuar të dokumentit të identifikimit (letërnjoftim apo pasaportë) të përfaqësuesit të pajisur me prokurë;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e) Dokumentin, që vërteton vendbanimin, më 19.7.1991, të  subjektit të shpronësuar;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ë) Mandatpagesën.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 xml:space="preserve">5. Në rastin e kërkesave të paraqitura pranë AKKP-së, në mbështetje të </w:t>
      </w:r>
      <w:r>
        <w:rPr>
          <w:sz w:val="21"/>
          <w:szCs w:val="21"/>
        </w:rPr>
        <w:t>vendimit nr.1343, datë 4.6.2008</w:t>
      </w:r>
      <w:r w:rsidRPr="0013647D">
        <w:rPr>
          <w:sz w:val="21"/>
          <w:szCs w:val="21"/>
        </w:rPr>
        <w:t xml:space="preserve"> të Këshillit të Ministrave “Për miratimin e procedurave të shpërndarjes së fondit të kompensimit të pronarëve, në të holla, për vitin 2008”, dhe për të cilat AKKP-ja nuk ka dhënë ende vendim, deri në datën e hyrjes në fuqi të këtij vendimi, kërkuesit duhet të pohojnë vullnetin e tyre, nëpërmjet një kërkese të re, për kompensimin, të shoqëruar me dokum</w:t>
      </w:r>
      <w:r>
        <w:rPr>
          <w:sz w:val="21"/>
          <w:szCs w:val="21"/>
        </w:rPr>
        <w:t>entet e parashikuara në pikën 6</w:t>
      </w:r>
      <w:r w:rsidRPr="0013647D">
        <w:rPr>
          <w:sz w:val="21"/>
          <w:szCs w:val="21"/>
        </w:rPr>
        <w:t xml:space="preserve"> të këtij vendimi.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6. Subjektet, që kanë aplikuar për kompensimin në të holla, në vitin 2008, të paraqesin dokumentacionin e mëposhtëm: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a) Kërkesën për kompensim financiar, sipas formularit 1, që i bashkëlidhet këtij vendimi;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b) Deklaratën për pranimin e kritereve për kompensim, sipas vendimit përkatës të Këshillit të Ministrave, dhe të kushteve të tjera, që lidhen me kriteret, sipas formularit 2, që i bashkëlidhet këtij vendimi;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c) Dëshminë e trashëgimisë, kur në dëshminë e paraqitur në vitin 2008 ka ndryshime të trashëgimtarëve të ligjshëm të subjektit të shpronësuar, sipas radhës së trashëgimtarëv</w:t>
      </w:r>
      <w:r>
        <w:rPr>
          <w:sz w:val="21"/>
          <w:szCs w:val="21"/>
        </w:rPr>
        <w:t>e, të përcaktuar në Kodin Civil;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ç) Prokurën e posaçme, nëse ajo e paraqitur në vitin 2008, ka kufizimin në kohë për tagrin e tërheqjes së shumës në të holla apo kur rrethi i trashëgimtarëve të subjektit të shpronësuar ka ndrys</w:t>
      </w:r>
      <w:r>
        <w:rPr>
          <w:sz w:val="21"/>
          <w:szCs w:val="21"/>
        </w:rPr>
        <w:t>huar;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d) Dokumentin, që vërteton vendbanimin më datë 19.7.1991, të subjektit të shpronësuar, për personat, që nuk kanë vërtetimet e SAMT-ve në dosje.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7. Zyra e AKKP-së në qendër, në bashkëpunim me zyrat rajonale, shqyrton dokumentacionin e subjekteve, që kërkojnë kompensim në të holla.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8. Zyra rajonale e kthimit dhe kompensimit të pronave kryen veprimet e mëposhtme: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 xml:space="preserve">a) Verifikon dosjen dhe vendimin përkatës, të dhënë nga Komisioni i Kthimit dhe Kompensimit të Pronave ose Agjencia e Kthimit dhe Kompensimit të Pronave, si dhe vendimet e tjera </w:t>
      </w:r>
      <w:r>
        <w:rPr>
          <w:sz w:val="21"/>
          <w:szCs w:val="21"/>
        </w:rPr>
        <w:t>për këtë subjekt të shpronësuar.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b)</w:t>
      </w:r>
      <w:r>
        <w:rPr>
          <w:sz w:val="21"/>
          <w:szCs w:val="21"/>
        </w:rPr>
        <w:t xml:space="preserve"> </w:t>
      </w:r>
      <w:r w:rsidRPr="0013647D">
        <w:rPr>
          <w:sz w:val="21"/>
          <w:szCs w:val="21"/>
        </w:rPr>
        <w:t>Kërkon nga zyrat vendore të regjistrimit të pasurive të paluajtshme, që, brenda 10 ditëve, të konfirmojnë, duke plotësuar rubrikat në modelarin tip 3, që i bashkëlidhet këtij vendimi, për: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i) vlefshmërinë e regjistrimit të vendimit përkatës në ZVRPP;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ii)</w:t>
      </w:r>
      <w:r>
        <w:rPr>
          <w:sz w:val="21"/>
          <w:szCs w:val="21"/>
        </w:rPr>
        <w:t xml:space="preserve"> </w:t>
      </w:r>
      <w:r w:rsidRPr="0013647D">
        <w:rPr>
          <w:sz w:val="21"/>
          <w:szCs w:val="21"/>
        </w:rPr>
        <w:t>verifikimin e ndryshimit të gjendjes juridike të pronës nga çasti i daljes së vendimit të paraqitur nga subjekti përkatës;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iii)</w:t>
      </w:r>
      <w:r>
        <w:rPr>
          <w:sz w:val="21"/>
          <w:szCs w:val="21"/>
        </w:rPr>
        <w:t xml:space="preserve"> </w:t>
      </w:r>
      <w:r w:rsidRPr="0013647D">
        <w:rPr>
          <w:sz w:val="21"/>
          <w:szCs w:val="21"/>
        </w:rPr>
        <w:t>verifikimin e regjistrimit dhe të ushtrimit të së drejtës së parablerjes;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iv) verifikimin, nëse subjekti i shpronësuar ka të regjistruar pronë të përfituar me kthim nga vendime të tjera të ish-KKKP-ve apo ish-KVKKP-ve, pranë ish-këshillave të rretheve e bashkive apo të ZRKKP-ve në qarqe, në emër të tij.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c) Kërkon nga SAMT-ja e qarkut përkatës verifikimin nëse subjekti i shpronësuar ka përfituar tokë bujqësore, sipas ligjit nr.7501, datë 19.7.1991, “Për tokën”, të ndryshuar.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Në ato raste kur vendbanimet e subjektit të shpronësuar apo të trashëgimtarëve të tij, më 19.7.1991 kanë qenë në rrethe apo qarqe të ndryshme, konfirmimet do të merren nga SAMT-të e qarqeve, ku kanë banuar. Këto verifikime pranë SA</w:t>
      </w:r>
      <w:r>
        <w:rPr>
          <w:sz w:val="21"/>
          <w:szCs w:val="21"/>
        </w:rPr>
        <w:t>MT-ve kryhen pa kundërshpërblim.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 xml:space="preserve">ç) Verifikon në arkivën e të dhënave të gjitha vendimet për këtë subjekt, për identifikimin e vendimeve për kthim </w:t>
      </w:r>
      <w:r>
        <w:rPr>
          <w:sz w:val="21"/>
          <w:szCs w:val="21"/>
        </w:rPr>
        <w:t>dhe kompensim të pronave të tij.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d) Kryen verifikimin në terren të gjendjes së pronës d</w:t>
      </w:r>
      <w:r>
        <w:rPr>
          <w:sz w:val="21"/>
          <w:szCs w:val="21"/>
        </w:rPr>
        <w:t>he mban procesverbalin përkatës.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dh) Përgatit planvendosjen e pronës dhe cakton: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i) në hartën e vlerës, zonën, ku ndodhet prona;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ii) në bashkëpunim me subjektin e shpronësuar, pjesën e pronës, që kërkohet për t’u kompensuar, kur prona është mbi 200 (dyqind) m</w:t>
      </w:r>
      <w:r w:rsidRPr="009F56A3">
        <w:rPr>
          <w:sz w:val="21"/>
          <w:szCs w:val="21"/>
          <w:vertAlign w:val="superscript"/>
        </w:rPr>
        <w:t>2</w:t>
      </w:r>
      <w:r w:rsidRPr="0013647D">
        <w:rPr>
          <w:sz w:val="21"/>
          <w:szCs w:val="21"/>
        </w:rPr>
        <w:t>, dhe i kërkon përfaqësuesit me prokurë të nënshkr</w:t>
      </w:r>
      <w:r>
        <w:rPr>
          <w:sz w:val="21"/>
          <w:szCs w:val="21"/>
        </w:rPr>
        <w:t>uajë për pjesën, që kompensohet.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e)  Llogarit vler</w:t>
      </w:r>
      <w:r>
        <w:rPr>
          <w:sz w:val="21"/>
          <w:szCs w:val="21"/>
        </w:rPr>
        <w:t>ën e sipërfaqes, që kompensohet.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ë) Pë</w:t>
      </w:r>
      <w:r>
        <w:rPr>
          <w:sz w:val="21"/>
          <w:szCs w:val="21"/>
        </w:rPr>
        <w:t>rgatit relacionin, ku shpjegohet</w:t>
      </w:r>
      <w:r w:rsidRPr="0013647D">
        <w:rPr>
          <w:sz w:val="21"/>
          <w:szCs w:val="21"/>
        </w:rPr>
        <w:t xml:space="preserve"> me hollësi për secilin subjekt kërkues të kompensimit: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i) vlefshmëria e vendimit të paraqitur nga subjekti;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ii) Vendimet e tjera, që vërtetojnë njohje dhe kthime të tjera të pronës për subjektin përkatës, shoqëruar me kopje të tyre;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iii) konfirmimet e zyrës vendore të regjistrimit të pasurive të paluajtshme;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iv) vlerësimin e pronës për kompensim.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f) Dërgon konfirmimet e marra për personat, në bazë të vërtetimit të banimit të tyre.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7.2. Zyra e Agjencisë së Kthimit dhe Kompensimit të Pronave në qendër shqyrton dokumentacionin e zyrave rajonale të kthimit dhe kompensimit të pronave, si dhe: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a) përgatit vlerësimin ligjor të kompensimit;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b) harton relacionin përkatës;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c) merr vendimin për pranimin apo refuzimin e kërkesës për kompensim të subjektit të shpronësuar;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ç) i dërgon subjektit të shpronësuar, Avokatit të Shtetit dhe zyrës së regjistrimit të pasurive të paluajtshme kopje të vendimeve të marra, për t’u dhënë mundësi të ushtrojnë kompetencat ligjore;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d) shpall listën e subjekteve fituese;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dh) kryen veprimet me thesarin dhe bankën për kalimin e fondit të kompensimit në të holla, në emër të subjektit të shpronësuar, përfitues të kompensimit, apo përfaqësuesit të tij me prokurë, në përputhj</w:t>
      </w:r>
      <w:r>
        <w:rPr>
          <w:sz w:val="21"/>
          <w:szCs w:val="21"/>
        </w:rPr>
        <w:t>e me procedurat për zbatimin e B</w:t>
      </w:r>
      <w:r w:rsidRPr="0013647D">
        <w:rPr>
          <w:sz w:val="21"/>
          <w:szCs w:val="21"/>
        </w:rPr>
        <w:t>uxheti</w:t>
      </w:r>
      <w:r>
        <w:rPr>
          <w:sz w:val="21"/>
          <w:szCs w:val="21"/>
        </w:rPr>
        <w:t>t të S</w:t>
      </w:r>
      <w:r w:rsidRPr="0013647D">
        <w:rPr>
          <w:sz w:val="21"/>
          <w:szCs w:val="21"/>
        </w:rPr>
        <w:t>htetit.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8. Procesi i regjistrimit/pranimit të kërkesave për kompensim fillon 5 ditë pas datës së hyrjes në fuqi të këtij vendimi dhe vazhdon për 30 ditë.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9. I gjithë procesi i trajtimit të kërkesave të subjekteve të shpronësuara duhet të kryhet në përputhje me këtë vendim dhe me afatin ligj</w:t>
      </w:r>
      <w:r>
        <w:rPr>
          <w:sz w:val="21"/>
          <w:szCs w:val="21"/>
        </w:rPr>
        <w:t>or, të përcaktuar në nenin 17/2</w:t>
      </w:r>
      <w:r w:rsidRPr="0013647D">
        <w:rPr>
          <w:sz w:val="21"/>
          <w:szCs w:val="21"/>
        </w:rPr>
        <w:t xml:space="preserve"> të</w:t>
      </w:r>
      <w:r>
        <w:rPr>
          <w:sz w:val="21"/>
          <w:szCs w:val="21"/>
        </w:rPr>
        <w:t xml:space="preserve"> ligjit nr.9235, datë 29.7.2004</w:t>
      </w:r>
      <w:r w:rsidRPr="0013647D">
        <w:rPr>
          <w:sz w:val="21"/>
          <w:szCs w:val="21"/>
        </w:rPr>
        <w:t xml:space="preserve"> “Për kthimin dhe kompensimin e pronës”, të ndryshuar.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10. Paraqitja e të dhënave të rreme ose fshehja e tyre nga subjektet e shpronësuara, në zbatim të këtij vendimi, sjell përjashtimin e menjëhershëm të këtyre subjekteve nga procedura e kompensimit në të holla dhe i ngarkon ata me përgjegjësi penale, sipas ligjit.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11. Ngarkohen Ministria e Drejtësisë, Agjencia e Kthimit dhe Kompensimit të Pronave, zyrat e regjistrimit të pasurive të paluajtshme dhe SAMT-të në rrethe për zbatimin e këtij vendimi.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  <w:r w:rsidRPr="0013647D">
        <w:rPr>
          <w:sz w:val="21"/>
          <w:szCs w:val="21"/>
        </w:rPr>
        <w:t>Ky ven</w:t>
      </w:r>
      <w:r>
        <w:rPr>
          <w:sz w:val="21"/>
          <w:szCs w:val="21"/>
        </w:rPr>
        <w:t>dim hyn në fuqi pas botimit në Fletoren Zyrtare</w:t>
      </w:r>
      <w:r w:rsidRPr="0013647D">
        <w:rPr>
          <w:sz w:val="21"/>
          <w:szCs w:val="21"/>
        </w:rPr>
        <w:t>.</w:t>
      </w:r>
    </w:p>
    <w:p w:rsidR="00912CE9" w:rsidRPr="0013647D" w:rsidRDefault="00912CE9" w:rsidP="00912CE9">
      <w:pPr>
        <w:pStyle w:val="Paragrafi0"/>
        <w:rPr>
          <w:sz w:val="21"/>
          <w:szCs w:val="21"/>
        </w:rPr>
      </w:pPr>
    </w:p>
    <w:p w:rsidR="00912CE9" w:rsidRPr="0013647D" w:rsidRDefault="00912CE9" w:rsidP="00912CE9">
      <w:pPr>
        <w:pStyle w:val="Autoriteti"/>
        <w:keepNext w:val="0"/>
        <w:rPr>
          <w:sz w:val="21"/>
          <w:szCs w:val="21"/>
        </w:rPr>
      </w:pPr>
      <w:r w:rsidRPr="0013647D">
        <w:rPr>
          <w:sz w:val="21"/>
          <w:szCs w:val="21"/>
        </w:rPr>
        <w:t>KRYEMINISTRI</w:t>
      </w:r>
    </w:p>
    <w:p w:rsidR="00912CE9" w:rsidRPr="0013647D" w:rsidRDefault="00912CE9" w:rsidP="00912CE9">
      <w:pPr>
        <w:pStyle w:val="AutoritetiEmer"/>
        <w:rPr>
          <w:sz w:val="21"/>
          <w:szCs w:val="21"/>
        </w:rPr>
      </w:pPr>
      <w:r w:rsidRPr="0013647D">
        <w:rPr>
          <w:sz w:val="21"/>
          <w:szCs w:val="21"/>
        </w:rPr>
        <w:t>Sali  Berisha</w:t>
      </w:r>
    </w:p>
    <w:p w:rsidR="00912CE9" w:rsidRPr="003D03A6" w:rsidRDefault="00912CE9" w:rsidP="00912CE9">
      <w:pPr>
        <w:pStyle w:val="Paragrafi0"/>
      </w:pPr>
      <w:r w:rsidRPr="0013647D">
        <w:rPr>
          <w:sz w:val="21"/>
          <w:szCs w:val="21"/>
        </w:rPr>
        <w:br/>
      </w:r>
    </w:p>
    <w:p w:rsidR="00912CE9" w:rsidRDefault="00912CE9" w:rsidP="00912CE9">
      <w:pPr>
        <w:pStyle w:val="Paragrafi0"/>
      </w:pPr>
    </w:p>
    <w:p w:rsidR="00912CE9" w:rsidRDefault="00912CE9" w:rsidP="00912CE9">
      <w:pPr>
        <w:pStyle w:val="Paragrafi0"/>
      </w:pPr>
    </w:p>
    <w:p w:rsidR="00912CE9" w:rsidRDefault="00912CE9" w:rsidP="00912CE9">
      <w:pPr>
        <w:pStyle w:val="Paragrafi0"/>
      </w:pPr>
    </w:p>
    <w:p w:rsidR="00912CE9" w:rsidRDefault="00912CE9" w:rsidP="00912CE9">
      <w:pPr>
        <w:pStyle w:val="Paragrafi0"/>
      </w:pPr>
    </w:p>
    <w:p w:rsidR="00912CE9" w:rsidRDefault="00912CE9" w:rsidP="00912CE9">
      <w:pPr>
        <w:pStyle w:val="Paragrafi0"/>
      </w:pPr>
    </w:p>
    <w:p w:rsidR="00912CE9" w:rsidRDefault="00912CE9" w:rsidP="00912CE9">
      <w:pPr>
        <w:pStyle w:val="Paragrafi0"/>
      </w:pPr>
    </w:p>
    <w:p w:rsidR="00912CE9" w:rsidRDefault="00912CE9" w:rsidP="00912CE9">
      <w:pPr>
        <w:pStyle w:val="Figure"/>
      </w:pPr>
    </w:p>
    <w:p w:rsidR="00912CE9" w:rsidRDefault="00912CE9" w:rsidP="00912CE9">
      <w:pPr>
        <w:pStyle w:val="Figure"/>
      </w:pPr>
    </w:p>
    <w:p w:rsidR="00912CE9" w:rsidRDefault="00912CE9" w:rsidP="00912CE9">
      <w:pPr>
        <w:pStyle w:val="Figure"/>
      </w:pPr>
    </w:p>
    <w:p w:rsidR="00912CE9" w:rsidRDefault="00912CE9" w:rsidP="00912CE9">
      <w:pPr>
        <w:pStyle w:val="Figure"/>
      </w:pPr>
    </w:p>
    <w:p w:rsidR="00912CE9" w:rsidRDefault="00912CE9" w:rsidP="00912CE9">
      <w:pPr>
        <w:pStyle w:val="Figure"/>
      </w:pPr>
    </w:p>
    <w:p w:rsidR="00912CE9" w:rsidRDefault="00912CE9" w:rsidP="00912CE9">
      <w:pPr>
        <w:pStyle w:val="Figure"/>
      </w:pPr>
    </w:p>
    <w:p w:rsidR="00912CE9" w:rsidRDefault="00912CE9" w:rsidP="00912CE9">
      <w:pPr>
        <w:pStyle w:val="Figure"/>
      </w:pPr>
    </w:p>
    <w:p w:rsidR="00912CE9" w:rsidRDefault="007C77A6" w:rsidP="00912CE9">
      <w:pPr>
        <w:pStyle w:val="Figure"/>
      </w:pPr>
      <w:r>
        <w:rPr>
          <w:noProof/>
        </w:rPr>
        <w:drawing>
          <wp:inline distT="0" distB="0" distL="0" distR="0">
            <wp:extent cx="5715000" cy="7543800"/>
            <wp:effectExtent l="0" t="0" r="0" b="0"/>
            <wp:docPr id="1" name="Picture 1" descr="Formular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5" t="2902" r="8179" b="5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CE9" w:rsidRDefault="00912CE9" w:rsidP="00912CE9">
      <w:pPr>
        <w:pStyle w:val="Figure"/>
      </w:pPr>
    </w:p>
    <w:p w:rsidR="00912CE9" w:rsidRDefault="00912CE9" w:rsidP="00912CE9">
      <w:pPr>
        <w:pStyle w:val="Figure"/>
      </w:pPr>
    </w:p>
    <w:p w:rsidR="00912CE9" w:rsidRDefault="00912CE9" w:rsidP="00912CE9">
      <w:pPr>
        <w:pStyle w:val="Figure"/>
      </w:pPr>
    </w:p>
    <w:p w:rsidR="00912CE9" w:rsidRDefault="007C77A6" w:rsidP="00912CE9">
      <w:pPr>
        <w:pStyle w:val="Figure"/>
      </w:pPr>
      <w:r>
        <w:rPr>
          <w:noProof/>
        </w:rPr>
        <w:drawing>
          <wp:inline distT="0" distB="0" distL="0" distR="0">
            <wp:extent cx="5943600" cy="8467725"/>
            <wp:effectExtent l="0" t="0" r="0" b="9525"/>
            <wp:docPr id="2" name="Picture 2" descr="Formular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8" t="4475" r="11240" b="8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CE9" w:rsidRDefault="00912CE9" w:rsidP="00912CE9">
      <w:pPr>
        <w:pStyle w:val="Figure"/>
      </w:pPr>
    </w:p>
    <w:p w:rsidR="00912CE9" w:rsidRDefault="00912CE9" w:rsidP="00912CE9">
      <w:pPr>
        <w:pStyle w:val="Figure"/>
      </w:pPr>
    </w:p>
    <w:p w:rsidR="00912CE9" w:rsidRDefault="007C77A6" w:rsidP="00912CE9">
      <w:pPr>
        <w:pStyle w:val="Figure"/>
      </w:pPr>
      <w:r>
        <w:rPr>
          <w:noProof/>
        </w:rPr>
        <w:drawing>
          <wp:inline distT="0" distB="0" distL="0" distR="0">
            <wp:extent cx="5943600" cy="8115300"/>
            <wp:effectExtent l="0" t="0" r="0" b="0"/>
            <wp:docPr id="3" name="Picture 3" descr="Formulari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5" t="2690" r="8179" b="9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CE9" w:rsidRDefault="00912CE9" w:rsidP="00912CE9">
      <w:pPr>
        <w:pStyle w:val="Figure"/>
      </w:pPr>
    </w:p>
    <w:p w:rsidR="00912CE9" w:rsidRDefault="007C77A6" w:rsidP="00912CE9">
      <w:pPr>
        <w:pStyle w:val="Paragrafi0"/>
        <w:ind w:firstLine="0"/>
      </w:pPr>
      <w:r>
        <w:rPr>
          <w:noProof/>
        </w:rPr>
        <w:drawing>
          <wp:inline distT="0" distB="0" distL="0" distR="0">
            <wp:extent cx="5715000" cy="2971800"/>
            <wp:effectExtent l="0" t="0" r="0" b="0"/>
            <wp:docPr id="4" name="Picture 4" descr="Formulari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60" b="54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C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12CE9"/>
    <w:rsid w:val="00001ED4"/>
    <w:rsid w:val="0000253A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31B3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111F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2711"/>
    <w:rsid w:val="005B2E51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C77A6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1184"/>
    <w:rsid w:val="009016F3"/>
    <w:rsid w:val="0090402D"/>
    <w:rsid w:val="00906F47"/>
    <w:rsid w:val="0091129D"/>
    <w:rsid w:val="00912CE9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58C"/>
    <w:rsid w:val="00CE086B"/>
    <w:rsid w:val="00CE179E"/>
    <w:rsid w:val="00CE3B1B"/>
    <w:rsid w:val="00CE4D53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439A8E-7643-4804-A0D4-F37D4FA7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912CE9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2019-03-18T13:29:00Z</dcterms:created>
  <dcterms:modified xsi:type="dcterms:W3CDTF">2019-03-18T13:29:00Z</dcterms:modified>
</cp:coreProperties>
</file>