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073" w:rsidRPr="00D50A3D" w:rsidRDefault="00BD7073" w:rsidP="00BD707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>
        <w:rPr>
          <w:sz w:val="21"/>
          <w:szCs w:val="21"/>
        </w:rPr>
        <w:t>VENDI</w:t>
      </w:r>
      <w:r w:rsidRPr="00D50A3D">
        <w:rPr>
          <w:sz w:val="21"/>
          <w:szCs w:val="21"/>
        </w:rPr>
        <w:t>M</w:t>
      </w:r>
    </w:p>
    <w:p w:rsidR="00BD7073" w:rsidRPr="00D50A3D" w:rsidRDefault="00BD7073" w:rsidP="00BD7073">
      <w:pPr>
        <w:pStyle w:val="NumriData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Nr.489, datë 6.5.2009 </w:t>
      </w:r>
    </w:p>
    <w:p w:rsidR="00BD7073" w:rsidRPr="00D50A3D" w:rsidRDefault="00BD7073" w:rsidP="00BD7073">
      <w:pPr>
        <w:pStyle w:val="Titulli0"/>
        <w:keepNext w:val="0"/>
        <w:rPr>
          <w:sz w:val="21"/>
          <w:szCs w:val="21"/>
        </w:rPr>
      </w:pPr>
    </w:p>
    <w:p w:rsidR="00BD7073" w:rsidRPr="00D50A3D" w:rsidRDefault="00BD7073" w:rsidP="00BD7073">
      <w:pPr>
        <w:pStyle w:val="Titulli0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PËR MIRATIMIN E KUADRIT MAKROEKONOMIK DHE TË TREGUESVE MAKROEKONOMIKË E FISKALË, TË RISHIKUAR, PËR PERIUDHËN 2010-2012</w:t>
      </w:r>
    </w:p>
    <w:p w:rsidR="00BD7073" w:rsidRPr="00D50A3D" w:rsidRDefault="00BD7073" w:rsidP="00BD7073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 </w:t>
      </w:r>
    </w:p>
    <w:p w:rsidR="00BD7073" w:rsidRPr="00D50A3D" w:rsidRDefault="00BD7073" w:rsidP="00BD7073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Në mbështetje të nenit 100 të Kushtetutës dhe të nenit 23 të ligjit nr.9936, datë 26.6.2008 “Për menaxhimin e sistemit buxhetor në Republikën e Shqipërisë”, me propozimin e Ministrit të Financave, Këshilli i Ministrave</w:t>
      </w:r>
    </w:p>
    <w:p w:rsidR="00BD7073" w:rsidRPr="00D50A3D" w:rsidRDefault="00BD7073" w:rsidP="00BD7073">
      <w:pPr>
        <w:pStyle w:val="Paragrafi0"/>
        <w:rPr>
          <w:sz w:val="21"/>
          <w:szCs w:val="21"/>
        </w:rPr>
      </w:pPr>
    </w:p>
    <w:p w:rsidR="00BD7073" w:rsidRPr="00D50A3D" w:rsidRDefault="00BD7073" w:rsidP="00BD7073">
      <w:pPr>
        <w:pStyle w:val="VENDOSI0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V E N D O S I :</w:t>
      </w:r>
    </w:p>
    <w:p w:rsidR="00BD7073" w:rsidRPr="00D50A3D" w:rsidRDefault="00BD7073" w:rsidP="00BD7073">
      <w:pPr>
        <w:pStyle w:val="Paragrafi0"/>
        <w:rPr>
          <w:rFonts w:eastAsia="Arial"/>
          <w:sz w:val="21"/>
          <w:szCs w:val="21"/>
        </w:rPr>
      </w:pPr>
    </w:p>
    <w:p w:rsidR="00BD7073" w:rsidRPr="00D50A3D" w:rsidRDefault="00BD7073" w:rsidP="00BD7073">
      <w:pPr>
        <w:pStyle w:val="Paragrafi0"/>
        <w:rPr>
          <w:sz w:val="21"/>
          <w:szCs w:val="21"/>
        </w:rPr>
      </w:pPr>
      <w:r w:rsidRPr="00D50A3D">
        <w:rPr>
          <w:rFonts w:eastAsia="Arial"/>
          <w:sz w:val="21"/>
          <w:szCs w:val="21"/>
        </w:rPr>
        <w:t>1.  </w:t>
      </w:r>
      <w:r w:rsidRPr="00D50A3D">
        <w:rPr>
          <w:sz w:val="21"/>
          <w:szCs w:val="21"/>
        </w:rPr>
        <w:t>Miratimin e kuadrit makroekonomik  e fiskal, 2010-2012, të rishikuar dhe të treguesve makroekonomikë e fiskalë, të rishikuar, për periudhën  2008-2012, përkatësisht, sipas lidhjeve nr.1 “Treguesit kryesorë makroekonomikë”, dhe nr.2 e nr.2/1 “Treguesit fiskalë, sipas buxhetit të konsoliduar”, që i bashkëlidhen këtij vendimi dhe janë pjesë përbërëse e tij. </w:t>
      </w:r>
    </w:p>
    <w:p w:rsidR="00BD7073" w:rsidRPr="00D50A3D" w:rsidRDefault="00BD7073" w:rsidP="00BD7073">
      <w:pPr>
        <w:pStyle w:val="Paragrafi0"/>
        <w:rPr>
          <w:sz w:val="21"/>
          <w:szCs w:val="21"/>
        </w:rPr>
      </w:pPr>
      <w:r w:rsidRPr="00D50A3D">
        <w:rPr>
          <w:rFonts w:eastAsia="Arial"/>
          <w:sz w:val="21"/>
          <w:szCs w:val="21"/>
        </w:rPr>
        <w:t>2.  </w:t>
      </w:r>
      <w:r w:rsidRPr="00D50A3D">
        <w:rPr>
          <w:sz w:val="21"/>
          <w:szCs w:val="21"/>
        </w:rPr>
        <w:t>Ngarkohet Ministria e Financave për zbatimin e këtij vendimi. </w:t>
      </w:r>
    </w:p>
    <w:p w:rsidR="00BD7073" w:rsidRPr="00D50A3D" w:rsidRDefault="00BD7073" w:rsidP="00BD7073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Ky vendim hyn në fuqi pas botimit në Fletoren  Zyrtare.</w:t>
      </w:r>
    </w:p>
    <w:p w:rsidR="00BD7073" w:rsidRPr="00D50A3D" w:rsidRDefault="00BD7073" w:rsidP="00BD7073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 </w:t>
      </w:r>
    </w:p>
    <w:p w:rsidR="00BD7073" w:rsidRPr="00D50A3D" w:rsidRDefault="00BD7073" w:rsidP="00BD7073">
      <w:pPr>
        <w:pStyle w:val="Autoriteti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KRYEMINISTRI</w:t>
      </w:r>
    </w:p>
    <w:p w:rsidR="00BD7073" w:rsidRPr="00D50A3D" w:rsidRDefault="00BD7073" w:rsidP="00BD7073">
      <w:pPr>
        <w:pStyle w:val="AutoritetiEmer"/>
        <w:rPr>
          <w:sz w:val="21"/>
          <w:szCs w:val="21"/>
        </w:rPr>
      </w:pPr>
      <w:r w:rsidRPr="00D50A3D">
        <w:rPr>
          <w:sz w:val="21"/>
          <w:szCs w:val="21"/>
        </w:rPr>
        <w:t>Sali  Berisha</w:t>
      </w:r>
    </w:p>
    <w:p w:rsidR="00BD7073" w:rsidRPr="00D50A3D" w:rsidRDefault="00BD7073" w:rsidP="00BD7073">
      <w:pPr>
        <w:pStyle w:val="Paragrafi0"/>
      </w:pPr>
    </w:p>
    <w:p w:rsidR="00BD7073" w:rsidRPr="00D50A3D" w:rsidRDefault="00BD7073" w:rsidP="00BD7073">
      <w:pPr>
        <w:pStyle w:val="Paragrafi0"/>
      </w:pPr>
    </w:p>
    <w:p w:rsidR="00BD7073" w:rsidRPr="00D50A3D" w:rsidRDefault="00BD7073" w:rsidP="00BD7073">
      <w:pPr>
        <w:pStyle w:val="Paragrafi0"/>
      </w:pPr>
    </w:p>
    <w:p w:rsidR="00BD7073" w:rsidRDefault="00BD7073" w:rsidP="00BD7073">
      <w:pPr>
        <w:pStyle w:val="Paragrafi0"/>
      </w:pPr>
    </w:p>
    <w:p w:rsidR="00BD7073" w:rsidRDefault="00BD7073" w:rsidP="00BD7073">
      <w:pPr>
        <w:pStyle w:val="Paragrafi0"/>
      </w:pPr>
    </w:p>
    <w:p w:rsidR="00BD7073" w:rsidRDefault="00BD7073" w:rsidP="00BD7073">
      <w:pPr>
        <w:pStyle w:val="Paragrafi0"/>
      </w:pPr>
    </w:p>
    <w:p w:rsidR="00BD7073" w:rsidRDefault="00BD7073" w:rsidP="00BD7073">
      <w:pPr>
        <w:pStyle w:val="Paragrafi0"/>
      </w:pPr>
    </w:p>
    <w:p w:rsidR="00BD7073" w:rsidRDefault="00BD7073" w:rsidP="00BD7073">
      <w:pPr>
        <w:pStyle w:val="Paragrafi0"/>
      </w:pPr>
    </w:p>
    <w:p w:rsidR="00BD7073" w:rsidRDefault="00BD7073" w:rsidP="00BD7073">
      <w:pPr>
        <w:pStyle w:val="Paragrafi0"/>
      </w:pPr>
    </w:p>
    <w:p w:rsidR="00BD7073" w:rsidRDefault="00BD7073" w:rsidP="00BD7073">
      <w:pPr>
        <w:pStyle w:val="Paragrafi0"/>
      </w:pPr>
    </w:p>
    <w:p w:rsidR="00BD7073" w:rsidRDefault="00BD7073" w:rsidP="00BD7073">
      <w:pPr>
        <w:pStyle w:val="Paragrafi0"/>
      </w:pPr>
    </w:p>
    <w:p w:rsidR="00BD7073" w:rsidRDefault="00BD7073" w:rsidP="00BD7073">
      <w:pPr>
        <w:pStyle w:val="Paragrafi0"/>
      </w:pPr>
    </w:p>
    <w:p w:rsidR="00BD7073" w:rsidRPr="00D50A3D" w:rsidRDefault="00BD7073" w:rsidP="00BD7073">
      <w:pPr>
        <w:pStyle w:val="Paragrafi0"/>
      </w:pPr>
    </w:p>
    <w:p w:rsidR="00BD7073" w:rsidRPr="00D50A3D" w:rsidRDefault="00847340" w:rsidP="00BD7073">
      <w:pPr>
        <w:pStyle w:val="Figure"/>
      </w:pPr>
      <w:r w:rsidRPr="00D50A3D">
        <w:rPr>
          <w:noProof/>
        </w:rPr>
        <w:drawing>
          <wp:inline distT="0" distB="0" distL="0" distR="0">
            <wp:extent cx="5476875" cy="76485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073" w:rsidRPr="00D50A3D" w:rsidRDefault="00BD7073" w:rsidP="00BD7073">
      <w:pPr>
        <w:pStyle w:val="Paragrafi0"/>
      </w:pPr>
    </w:p>
    <w:p w:rsidR="00BD7073" w:rsidRPr="00D50A3D" w:rsidRDefault="00BD7073" w:rsidP="00BD7073">
      <w:pPr>
        <w:pStyle w:val="Paragrafi0"/>
      </w:pPr>
    </w:p>
    <w:p w:rsidR="00BD7073" w:rsidRPr="00D50A3D" w:rsidRDefault="00BD7073" w:rsidP="00BD7073">
      <w:pPr>
        <w:pStyle w:val="Paragrafi0"/>
      </w:pPr>
    </w:p>
    <w:p w:rsidR="00BD7073" w:rsidRPr="00D50A3D" w:rsidRDefault="00BD7073" w:rsidP="00BD7073">
      <w:pPr>
        <w:pStyle w:val="Paragrafi0"/>
      </w:pPr>
    </w:p>
    <w:p w:rsidR="00BD7073" w:rsidRPr="00D50A3D" w:rsidRDefault="00BD7073" w:rsidP="00BD7073">
      <w:pPr>
        <w:pStyle w:val="Paragrafi0"/>
      </w:pPr>
    </w:p>
    <w:p w:rsidR="00BD7073" w:rsidRPr="00D50A3D" w:rsidRDefault="00BD7073" w:rsidP="00BD7073">
      <w:pPr>
        <w:pStyle w:val="Paragrafi0"/>
      </w:pPr>
    </w:p>
    <w:p w:rsidR="00BD7073" w:rsidRPr="00D50A3D" w:rsidRDefault="00BD7073" w:rsidP="00BD7073">
      <w:pPr>
        <w:pStyle w:val="Paragrafi0"/>
      </w:pPr>
    </w:p>
    <w:p w:rsidR="00BD7073" w:rsidRPr="00D50A3D" w:rsidRDefault="00847340" w:rsidP="00BD7073">
      <w:pPr>
        <w:pStyle w:val="Figure"/>
      </w:pPr>
      <w:r w:rsidRPr="00D50A3D">
        <w:rPr>
          <w:noProof/>
        </w:rPr>
        <w:drawing>
          <wp:inline distT="0" distB="0" distL="0" distR="0">
            <wp:extent cx="4686300" cy="75438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073" w:rsidRPr="00D50A3D" w:rsidRDefault="00BD7073" w:rsidP="00BD7073">
      <w:pPr>
        <w:pStyle w:val="Paragrafi0"/>
      </w:pPr>
    </w:p>
    <w:p w:rsidR="00BD7073" w:rsidRPr="00D50A3D" w:rsidRDefault="00BD7073" w:rsidP="00BD7073">
      <w:pPr>
        <w:pStyle w:val="Paragrafi0"/>
      </w:pPr>
    </w:p>
    <w:p w:rsidR="00BD7073" w:rsidRPr="00D50A3D" w:rsidRDefault="00BD7073" w:rsidP="00BD7073">
      <w:pPr>
        <w:pStyle w:val="Paragrafi0"/>
      </w:pPr>
    </w:p>
    <w:p w:rsidR="00BD7073" w:rsidRPr="00D50A3D" w:rsidRDefault="00BD7073" w:rsidP="00BD7073">
      <w:pPr>
        <w:pStyle w:val="Paragrafi0"/>
      </w:pPr>
    </w:p>
    <w:p w:rsidR="00BD7073" w:rsidRPr="00D50A3D" w:rsidRDefault="00847340" w:rsidP="00BD7073">
      <w:pPr>
        <w:pStyle w:val="Figure"/>
      </w:pPr>
      <w:r w:rsidRPr="00D50A3D">
        <w:rPr>
          <w:noProof/>
        </w:rPr>
        <w:drawing>
          <wp:inline distT="0" distB="0" distL="0" distR="0">
            <wp:extent cx="5029200" cy="69113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691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073" w:rsidRPr="00D50A3D" w:rsidRDefault="00BD7073" w:rsidP="00BD7073">
      <w:pPr>
        <w:pStyle w:val="Akti"/>
        <w:keepNext w:val="0"/>
        <w:rPr>
          <w:sz w:val="21"/>
          <w:szCs w:val="21"/>
        </w:rPr>
      </w:pPr>
    </w:p>
    <w:p w:rsidR="00BD7073" w:rsidRPr="00D50A3D" w:rsidRDefault="00BD7073" w:rsidP="00BD7073">
      <w:pPr>
        <w:pStyle w:val="Akti"/>
        <w:keepNext w:val="0"/>
        <w:rPr>
          <w:sz w:val="21"/>
          <w:szCs w:val="21"/>
        </w:rPr>
      </w:pPr>
    </w:p>
    <w:p w:rsidR="00BD7073" w:rsidRPr="00D50A3D" w:rsidRDefault="00BD7073" w:rsidP="00BD7073">
      <w:pPr>
        <w:pStyle w:val="Akti"/>
        <w:keepNext w:val="0"/>
        <w:rPr>
          <w:sz w:val="21"/>
          <w:szCs w:val="21"/>
        </w:rPr>
      </w:pPr>
    </w:p>
    <w:sectPr w:rsidR="00BD7073" w:rsidRPr="00D50A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7073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ACF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340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D7073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3289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1FFFD6-616D-4711-9B4C-0A195BF01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7073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BD7073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BD707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