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F47" w:rsidRPr="00100DF4" w:rsidRDefault="00D54F47" w:rsidP="00D54F4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00DF4">
        <w:rPr>
          <w:sz w:val="21"/>
          <w:szCs w:val="21"/>
        </w:rPr>
        <w:t>VENDIM</w:t>
      </w:r>
    </w:p>
    <w:p w:rsidR="00D54F47" w:rsidRPr="00100DF4" w:rsidRDefault="00D54F47" w:rsidP="00D54F47">
      <w:pPr>
        <w:pStyle w:val="NumriData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Nr.513, datë 13.5.2009</w:t>
      </w:r>
    </w:p>
    <w:p w:rsidR="00D54F47" w:rsidRPr="00100DF4" w:rsidRDefault="00D54F47" w:rsidP="00D54F47">
      <w:pPr>
        <w:pStyle w:val="Paragrafi0"/>
        <w:rPr>
          <w:sz w:val="21"/>
          <w:szCs w:val="21"/>
        </w:rPr>
      </w:pPr>
    </w:p>
    <w:p w:rsidR="00D54F47" w:rsidRPr="00100DF4" w:rsidRDefault="00D54F47" w:rsidP="00D54F47">
      <w:pPr>
        <w:pStyle w:val="Titull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PËR SHPRONËSIMIN, PËR INTERES PUBLIK, TË PRONARËVE TË PASURIVE TË PALUAJTSHME, PRONË PRIVATE, QË PREKEN NGA NDËRTIMI I SEGMENTIT RRUGOR “UNAZA, KAVAJË”</w:t>
      </w:r>
    </w:p>
    <w:p w:rsidR="00D54F47" w:rsidRPr="00100DF4" w:rsidRDefault="00D54F47" w:rsidP="00D54F47">
      <w:pPr>
        <w:pStyle w:val="Paragrafi0"/>
        <w:rPr>
          <w:sz w:val="21"/>
          <w:szCs w:val="21"/>
        </w:rPr>
      </w:pPr>
    </w:p>
    <w:p w:rsidR="00D54F47" w:rsidRPr="00100DF4" w:rsidRDefault="00D54F47" w:rsidP="00D54F47">
      <w:pPr>
        <w:pStyle w:val="BazLigjPropozues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Në mbështetje të nenit 100 të Kushtetutës, të neneve 5, pika 1, 20 e 21 të   ligjit nr.8561, datë 22.12.1999 “ Për shpronësimet dhe marrjen në përdorim të përkohshëm të pasurisë, pronë private, për interes publik”, dhe të nenit 8 të ligjit nr.9836, datë 26.11.2007 “Për Buxhetin e Shtetit të vitit 2008”, të ndryshuar, me propozimin e Ministrit të Punëve Publike, Transportit dhe Telekomunikacionit, Këshilli i Ministrave                                  </w:t>
      </w:r>
    </w:p>
    <w:p w:rsidR="00D54F47" w:rsidRPr="00100DF4" w:rsidRDefault="00D54F47" w:rsidP="00D54F47">
      <w:pPr>
        <w:pStyle w:val="Paragrafi0"/>
        <w:rPr>
          <w:sz w:val="21"/>
          <w:szCs w:val="21"/>
        </w:rPr>
      </w:pPr>
    </w:p>
    <w:p w:rsidR="00D54F47" w:rsidRPr="00100DF4" w:rsidRDefault="00D54F47" w:rsidP="00D54F47">
      <w:pPr>
        <w:pStyle w:val="VENDOS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VENDOSI:</w:t>
      </w:r>
    </w:p>
    <w:p w:rsidR="00D54F47" w:rsidRPr="00100DF4" w:rsidRDefault="00D54F47" w:rsidP="00D54F47">
      <w:pPr>
        <w:pStyle w:val="Paragrafi0"/>
        <w:rPr>
          <w:sz w:val="21"/>
          <w:szCs w:val="21"/>
        </w:rPr>
      </w:pPr>
    </w:p>
    <w:p w:rsidR="00D54F47" w:rsidRPr="00100DF4" w:rsidRDefault="00D54F47" w:rsidP="00D54F47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1.Shpronësimin, për interes publik, të pronarëve të pasurive të paluajtshme, pronë private, që preken nga ndërtimi i segmentit rrugor “Unaza, Kavajë”.</w:t>
      </w:r>
    </w:p>
    <w:p w:rsidR="00D54F47" w:rsidRPr="00100DF4" w:rsidRDefault="00D54F47" w:rsidP="00D54F47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2. Shpronësimi të bëhet në favor të Drejtorisë së Përgjithshme të Rrugëve.</w:t>
      </w:r>
    </w:p>
    <w:p w:rsidR="00D54F47" w:rsidRPr="00100DF4" w:rsidRDefault="00D54F47" w:rsidP="00D54F47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3. Pronarët e pasurive të paluajtshme, që shpronësohen, të kompensohen në vlerë të plotë, sipas masës përkatëse, që paraqitet në tabelën, që i bashkëlidhet këtij vendimi, për sipërfaqen 498 (katërqind e nëntëdhjetë e tetë) m², tokë/truall, me vlerë të përgjithshme  shpronësimi 10 436 170 (dhjetë milionë e katërqind e tridhjetë e gjashtë mijë e njëqind e shtatëdhjetë) lekë.</w:t>
      </w:r>
    </w:p>
    <w:p w:rsidR="00D54F47" w:rsidRPr="00100DF4" w:rsidRDefault="00D54F47" w:rsidP="00D54F47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4. Ky fond prej 10 436 170 (dhjetë milionë e katërqind e tridhjetë e gjashtë mijë e njëqind e shtatëdhjetë) lekësh, të përballohet nga llogaria e veçantë e Ministrisë së Financave në Bankën e Shqipërisë “Fondi i shpronësimeve”.</w:t>
      </w:r>
    </w:p>
    <w:p w:rsidR="00D54F47" w:rsidRPr="00100DF4" w:rsidRDefault="00D54F47" w:rsidP="00D54F47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5. Shpenzimet procedurale, në vlerën 256 000 (dyqind e pesëdhjetë e gjashtë mijë) lekë, të përballohen nga Drejtoria e Përgjithshme e Rrugëve.</w:t>
      </w:r>
    </w:p>
    <w:p w:rsidR="00D54F47" w:rsidRPr="00100DF4" w:rsidRDefault="00D54F47" w:rsidP="00D54F47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6. Shpronësimi të fillojë më 30.5.2009 dhe të përfundojë më 30.8.2009.</w:t>
      </w:r>
    </w:p>
    <w:p w:rsidR="00D54F47" w:rsidRPr="00100DF4" w:rsidRDefault="00D54F47" w:rsidP="00D54F47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7. Pronarët e përmendur në listën, që i bashkëlidhet këtij vendimi, për të cilët është bërë shënimi “Proces regjistrimi” dhe “Konfirmim ZRPP”, të kompensohen, për efekt shpronësimi, pasi të kenë dorëzuar dokumentacionin e pronësisë, pranë Drejtorisë së Përgjithshme të Rrugëve.</w:t>
      </w:r>
    </w:p>
    <w:p w:rsidR="00D54F47" w:rsidRPr="00100DF4" w:rsidRDefault="00D54F47" w:rsidP="00D54F47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8. Drejtoria e Përgjithshme e Rrugëve të kryejë verifikimet për përputhshmërinë e sipërfaqeve, që shpronësohen, me numrat e pasurive në pronësi të pronarëve.</w:t>
      </w:r>
    </w:p>
    <w:p w:rsidR="00D54F47" w:rsidRPr="00100DF4" w:rsidRDefault="00D54F47" w:rsidP="00D54F47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9. Ngarkohen Ministria e Punëve Publike, Transportit dhe Telekomunikacionit, Ministria e Financave dhe Drejtoria e Përgjithshme e Rrugëve për zbatimin e këtij vendimi.</w:t>
      </w:r>
    </w:p>
    <w:p w:rsidR="00D54F47" w:rsidRPr="00100DF4" w:rsidRDefault="00D54F47" w:rsidP="00D54F47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Ky vendim hyn në fuqi menjëherë dhe botohet në Fletoren Zyrtare.</w:t>
      </w:r>
    </w:p>
    <w:p w:rsidR="00D54F47" w:rsidRPr="00100DF4" w:rsidRDefault="00D54F47" w:rsidP="00D54F47">
      <w:pPr>
        <w:pStyle w:val="Paragrafi0"/>
        <w:rPr>
          <w:sz w:val="21"/>
          <w:szCs w:val="21"/>
        </w:rPr>
      </w:pPr>
    </w:p>
    <w:p w:rsidR="00D54F47" w:rsidRPr="00100DF4" w:rsidRDefault="00D54F47" w:rsidP="00D54F47">
      <w:pPr>
        <w:pStyle w:val="Autoriteti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Kryeministri</w:t>
      </w:r>
    </w:p>
    <w:p w:rsidR="00D54F47" w:rsidRPr="00100DF4" w:rsidRDefault="00D54F47" w:rsidP="00D54F47">
      <w:pPr>
        <w:pStyle w:val="AutoritetiEmer"/>
        <w:rPr>
          <w:sz w:val="21"/>
          <w:szCs w:val="21"/>
        </w:rPr>
      </w:pPr>
      <w:r w:rsidRPr="00100DF4">
        <w:rPr>
          <w:sz w:val="21"/>
          <w:szCs w:val="21"/>
        </w:rPr>
        <w:t>Sali Berisha</w:t>
      </w:r>
    </w:p>
    <w:p w:rsidR="00D54F47" w:rsidRPr="00100DF4" w:rsidRDefault="00D54F47" w:rsidP="00D54F47">
      <w:pPr>
        <w:pStyle w:val="Paragrafi0"/>
        <w:rPr>
          <w:sz w:val="21"/>
          <w:szCs w:val="21"/>
        </w:rPr>
      </w:pPr>
    </w:p>
    <w:p w:rsidR="00D54F47" w:rsidRPr="00100DF4" w:rsidRDefault="00D54F47" w:rsidP="00D54F47">
      <w:pPr>
        <w:pStyle w:val="Paragrafi0"/>
        <w:rPr>
          <w:sz w:val="21"/>
          <w:szCs w:val="21"/>
        </w:rPr>
      </w:pPr>
    </w:p>
    <w:p w:rsidR="00D54F47" w:rsidRPr="00100DF4" w:rsidRDefault="00D54F47" w:rsidP="00D54F47">
      <w:pPr>
        <w:pStyle w:val="Paragrafi0"/>
        <w:ind w:firstLine="0"/>
        <w:rPr>
          <w:sz w:val="21"/>
          <w:szCs w:val="21"/>
        </w:rPr>
      </w:pPr>
    </w:p>
    <w:p w:rsidR="00D54F47" w:rsidRPr="00100DF4" w:rsidRDefault="00D54F47" w:rsidP="00D54F47">
      <w:pPr>
        <w:pStyle w:val="Paragrafi0"/>
        <w:rPr>
          <w:sz w:val="21"/>
          <w:szCs w:val="21"/>
        </w:rPr>
      </w:pPr>
    </w:p>
    <w:p w:rsidR="00D54F47" w:rsidRPr="00100DF4" w:rsidRDefault="00D54F47" w:rsidP="00D54F47">
      <w:pPr>
        <w:pStyle w:val="Paragrafi0"/>
        <w:rPr>
          <w:sz w:val="21"/>
          <w:szCs w:val="21"/>
        </w:rPr>
      </w:pPr>
    </w:p>
    <w:p w:rsidR="00D54F47" w:rsidRPr="00100DF4" w:rsidRDefault="00D54F47" w:rsidP="00D54F47">
      <w:pPr>
        <w:pStyle w:val="Paragrafi0"/>
        <w:rPr>
          <w:sz w:val="21"/>
          <w:szCs w:val="21"/>
        </w:rPr>
      </w:pPr>
    </w:p>
    <w:p w:rsidR="00D54F47" w:rsidRPr="00100DF4" w:rsidRDefault="00D54F47" w:rsidP="00D54F47">
      <w:pPr>
        <w:pStyle w:val="Paragrafi0"/>
        <w:rPr>
          <w:sz w:val="21"/>
          <w:szCs w:val="21"/>
        </w:rPr>
      </w:pPr>
    </w:p>
    <w:p w:rsidR="00D54F47" w:rsidRPr="00100DF4" w:rsidRDefault="00D54F47" w:rsidP="00D54F47">
      <w:pPr>
        <w:pStyle w:val="Paragrafi0"/>
        <w:rPr>
          <w:sz w:val="21"/>
          <w:szCs w:val="21"/>
        </w:rPr>
      </w:pPr>
    </w:p>
    <w:p w:rsidR="00D54F47" w:rsidRPr="00100DF4" w:rsidRDefault="00D54F47" w:rsidP="00D54F47">
      <w:pPr>
        <w:pStyle w:val="Paragrafi0"/>
        <w:rPr>
          <w:sz w:val="21"/>
          <w:szCs w:val="21"/>
        </w:rPr>
      </w:pPr>
    </w:p>
    <w:p w:rsidR="00D54F47" w:rsidRPr="00100DF4" w:rsidRDefault="00D54F47" w:rsidP="00D54F47">
      <w:pPr>
        <w:pStyle w:val="Paragrafi0"/>
        <w:rPr>
          <w:sz w:val="21"/>
          <w:szCs w:val="21"/>
        </w:rPr>
      </w:pPr>
    </w:p>
    <w:p w:rsidR="00D54F47" w:rsidRPr="00100DF4" w:rsidRDefault="00D54F47" w:rsidP="00D54F47">
      <w:pPr>
        <w:pStyle w:val="Paragrafi0"/>
        <w:rPr>
          <w:sz w:val="21"/>
          <w:szCs w:val="21"/>
        </w:rPr>
      </w:pPr>
    </w:p>
    <w:p w:rsidR="00D54F47" w:rsidRDefault="00D54F47" w:rsidP="00D54F47">
      <w:pPr>
        <w:pStyle w:val="Paragrafi0"/>
        <w:rPr>
          <w:sz w:val="21"/>
          <w:szCs w:val="21"/>
        </w:rPr>
        <w:sectPr w:rsidR="00D54F47" w:rsidSect="00D54F47">
          <w:footerReference w:type="even" r:id="rId6"/>
          <w:footerReference w:type="default" r:id="rId7"/>
          <w:pgSz w:w="12240" w:h="15840"/>
          <w:pgMar w:top="1418" w:right="1418" w:bottom="1418" w:left="1418" w:header="1304" w:footer="1134" w:gutter="0"/>
          <w:pgNumType w:start="3935"/>
          <w:cols w:space="720"/>
          <w:docGrid w:linePitch="360"/>
        </w:sectPr>
      </w:pPr>
    </w:p>
    <w:p w:rsidR="00D54F47" w:rsidRPr="00100DF4" w:rsidRDefault="00D54F47" w:rsidP="00D54F47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REPUBLIKA E SHQIPËRISË</w:t>
      </w:r>
    </w:p>
    <w:p w:rsidR="00D54F47" w:rsidRPr="00100DF4" w:rsidRDefault="00D54F47" w:rsidP="00D54F47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DREJTORIA E PËRGJITHSHME E RRUGËVE</w:t>
      </w:r>
    </w:p>
    <w:p w:rsidR="00D54F47" w:rsidRPr="00100DF4" w:rsidRDefault="00D54F47" w:rsidP="00D54F47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DREJTORIA JURIDIKE</w:t>
      </w:r>
    </w:p>
    <w:p w:rsidR="00D54F47" w:rsidRPr="00100DF4" w:rsidRDefault="00D54F47" w:rsidP="00D54F47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SEKTORI I SHPRONËSIMEVE</w:t>
      </w:r>
    </w:p>
    <w:p w:rsidR="00D54F47" w:rsidRPr="00100DF4" w:rsidRDefault="00D54F47" w:rsidP="00D54F47">
      <w:pPr>
        <w:pStyle w:val="Paragrafi0"/>
        <w:rPr>
          <w:sz w:val="21"/>
          <w:szCs w:val="21"/>
        </w:rPr>
      </w:pPr>
    </w:p>
    <w:p w:rsidR="00D54F47" w:rsidRPr="00100DF4" w:rsidRDefault="00D54F47" w:rsidP="00D54F47">
      <w:pPr>
        <w:pStyle w:val="TitulliTitull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Lista emërore e pronarëve që shpronësohen nga ndërtimi i rrugës “Unaza kavajë“</w:t>
      </w:r>
    </w:p>
    <w:p w:rsidR="00D54F47" w:rsidRPr="00100DF4" w:rsidRDefault="00D54F47" w:rsidP="00D54F47">
      <w:pPr>
        <w:pStyle w:val="Paragrafi0"/>
        <w:rPr>
          <w:sz w:val="21"/>
          <w:szCs w:val="21"/>
        </w:rPr>
      </w:pPr>
    </w:p>
    <w:tbl>
      <w:tblPr>
        <w:tblStyle w:val="Strong"/>
        <w:tblW w:w="90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"/>
        <w:gridCol w:w="1076"/>
        <w:gridCol w:w="958"/>
        <w:gridCol w:w="991"/>
        <w:gridCol w:w="737"/>
        <w:gridCol w:w="877"/>
        <w:gridCol w:w="773"/>
        <w:gridCol w:w="515"/>
        <w:gridCol w:w="773"/>
        <w:gridCol w:w="947"/>
        <w:gridCol w:w="759"/>
        <w:gridCol w:w="947"/>
        <w:gridCol w:w="1013"/>
        <w:gridCol w:w="1175"/>
      </w:tblGrid>
      <w:tr w:rsidR="00D54F47" w:rsidRPr="00C90B55" w:rsidTr="00D54F47">
        <w:trPr>
          <w:jc w:val="center"/>
        </w:trPr>
        <w:tc>
          <w:tcPr>
            <w:tcW w:w="537" w:type="dxa"/>
            <w:vMerge w:val="restart"/>
            <w:vAlign w:val="center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Nr</w:t>
            </w:r>
          </w:p>
        </w:tc>
        <w:tc>
          <w:tcPr>
            <w:tcW w:w="0" w:type="auto"/>
            <w:vMerge w:val="restart"/>
            <w:vAlign w:val="center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Emri</w:t>
            </w:r>
          </w:p>
        </w:tc>
        <w:tc>
          <w:tcPr>
            <w:tcW w:w="0" w:type="auto"/>
            <w:vMerge w:val="restart"/>
            <w:vAlign w:val="center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Atësia</w:t>
            </w:r>
          </w:p>
        </w:tc>
        <w:tc>
          <w:tcPr>
            <w:tcW w:w="0" w:type="auto"/>
            <w:vMerge w:val="restart"/>
            <w:vAlign w:val="center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Mbiemri</w:t>
            </w:r>
          </w:p>
        </w:tc>
        <w:tc>
          <w:tcPr>
            <w:tcW w:w="0" w:type="auto"/>
            <w:vMerge w:val="restart"/>
            <w:vAlign w:val="center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Zona kadas.</w:t>
            </w:r>
          </w:p>
        </w:tc>
        <w:tc>
          <w:tcPr>
            <w:tcW w:w="0" w:type="auto"/>
            <w:vAlign w:val="center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Sipërf.</w:t>
            </w:r>
          </w:p>
        </w:tc>
        <w:tc>
          <w:tcPr>
            <w:tcW w:w="0" w:type="auto"/>
            <w:gridSpan w:val="5"/>
            <w:vAlign w:val="center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Lloji i pasurisë</w:t>
            </w:r>
          </w:p>
        </w:tc>
        <w:tc>
          <w:tcPr>
            <w:tcW w:w="0" w:type="auto"/>
            <w:vMerge w:val="restart"/>
            <w:vAlign w:val="center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Shuma</w:t>
            </w:r>
          </w:p>
        </w:tc>
        <w:tc>
          <w:tcPr>
            <w:tcW w:w="0" w:type="auto"/>
            <w:vMerge w:val="restart"/>
            <w:vAlign w:val="center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Shënime</w:t>
            </w:r>
          </w:p>
        </w:tc>
      </w:tr>
      <w:tr w:rsidR="00D54F47" w:rsidRPr="00C90B55" w:rsidTr="00D54F47">
        <w:trPr>
          <w:jc w:val="center"/>
        </w:trPr>
        <w:tc>
          <w:tcPr>
            <w:tcW w:w="537" w:type="dxa"/>
            <w:vMerge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Nr.</w:t>
            </w:r>
          </w:p>
        </w:tc>
        <w:tc>
          <w:tcPr>
            <w:tcW w:w="0" w:type="auto"/>
            <w:vAlign w:val="center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Përgj.</w:t>
            </w:r>
          </w:p>
        </w:tc>
        <w:tc>
          <w:tcPr>
            <w:tcW w:w="0" w:type="auto"/>
            <w:gridSpan w:val="3"/>
            <w:vAlign w:val="center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Truall</w:t>
            </w:r>
          </w:p>
        </w:tc>
        <w:tc>
          <w:tcPr>
            <w:tcW w:w="0" w:type="auto"/>
            <w:gridSpan w:val="2"/>
            <w:vAlign w:val="center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Objekt</w:t>
            </w:r>
          </w:p>
        </w:tc>
        <w:tc>
          <w:tcPr>
            <w:tcW w:w="0" w:type="auto"/>
            <w:vMerge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</w:tr>
      <w:tr w:rsidR="00D54F47" w:rsidRPr="00C90B55" w:rsidTr="00D54F47">
        <w:trPr>
          <w:jc w:val="center"/>
        </w:trPr>
        <w:tc>
          <w:tcPr>
            <w:tcW w:w="537" w:type="dxa"/>
            <w:vMerge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  <w:vAlign w:val="center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pasurisë</w:t>
            </w:r>
          </w:p>
        </w:tc>
        <w:tc>
          <w:tcPr>
            <w:tcW w:w="0" w:type="auto"/>
            <w:vAlign w:val="center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m</w:t>
            </w:r>
            <w:r w:rsidRPr="00C90B55">
              <w:rPr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m</w:t>
            </w:r>
            <w:r w:rsidRPr="00C90B55">
              <w:rPr>
                <w:sz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Çmimi</w:t>
            </w:r>
          </w:p>
        </w:tc>
        <w:tc>
          <w:tcPr>
            <w:tcW w:w="0" w:type="auto"/>
            <w:vAlign w:val="center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Vl.(lekë)</w:t>
            </w:r>
          </w:p>
        </w:tc>
        <w:tc>
          <w:tcPr>
            <w:tcW w:w="0" w:type="auto"/>
            <w:vAlign w:val="center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(Lloji)</w:t>
            </w:r>
          </w:p>
        </w:tc>
        <w:tc>
          <w:tcPr>
            <w:tcW w:w="0" w:type="auto"/>
            <w:vAlign w:val="center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Vl.(lekë)</w:t>
            </w:r>
          </w:p>
        </w:tc>
        <w:tc>
          <w:tcPr>
            <w:tcW w:w="0" w:type="auto"/>
            <w:vMerge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</w:tr>
      <w:tr w:rsidR="00D54F47" w:rsidRPr="00C90B55" w:rsidTr="00D54F47">
        <w:trPr>
          <w:jc w:val="center"/>
        </w:trPr>
        <w:tc>
          <w:tcPr>
            <w:tcW w:w="537" w:type="dxa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Idajet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Halim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Gjylsheni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8552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10/199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131.3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43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17982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773226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773226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Konf.zvrpp</w:t>
            </w:r>
          </w:p>
        </w:tc>
      </w:tr>
      <w:tr w:rsidR="00D54F47" w:rsidRPr="00C90B55" w:rsidTr="00D54F47">
        <w:trPr>
          <w:jc w:val="center"/>
        </w:trPr>
        <w:tc>
          <w:tcPr>
            <w:tcW w:w="537" w:type="dxa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Vath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Halim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Gjylsheni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8552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10/200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570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43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17982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773226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773226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Konf.zvrpp</w:t>
            </w:r>
          </w:p>
        </w:tc>
      </w:tr>
      <w:tr w:rsidR="00D54F47" w:rsidRPr="00C90B55" w:rsidTr="00D54F47">
        <w:trPr>
          <w:jc w:val="center"/>
        </w:trPr>
        <w:tc>
          <w:tcPr>
            <w:tcW w:w="537" w:type="dxa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Fadil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Hysen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Lushkja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8552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9/107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725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23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15763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362549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362549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Konf.zvrpp</w:t>
            </w:r>
          </w:p>
        </w:tc>
      </w:tr>
      <w:tr w:rsidR="00D54F47" w:rsidRPr="00C90B55" w:rsidTr="00D54F47">
        <w:trPr>
          <w:jc w:val="center"/>
        </w:trPr>
        <w:tc>
          <w:tcPr>
            <w:tcW w:w="537" w:type="dxa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4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Azem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Murat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Lushkja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8552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14/156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417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31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15763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488653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488653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Proc.regjis.</w:t>
            </w:r>
          </w:p>
        </w:tc>
      </w:tr>
      <w:tr w:rsidR="00D54F47" w:rsidRPr="00C90B55" w:rsidTr="00D54F47">
        <w:trPr>
          <w:jc w:val="center"/>
        </w:trPr>
        <w:tc>
          <w:tcPr>
            <w:tcW w:w="537" w:type="dxa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5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Trashigir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Ramazan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Arapi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8552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13/174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244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36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15763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567468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567468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Proc.regjis.</w:t>
            </w:r>
          </w:p>
        </w:tc>
      </w:tr>
      <w:tr w:rsidR="00D54F47" w:rsidRPr="00C90B55" w:rsidTr="00D54F47">
        <w:trPr>
          <w:jc w:val="center"/>
        </w:trPr>
        <w:tc>
          <w:tcPr>
            <w:tcW w:w="537" w:type="dxa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6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Besnik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Haxhi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Qerosi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8552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13/93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200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82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15763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1292566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1292566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Proc.regjis.</w:t>
            </w:r>
          </w:p>
        </w:tc>
      </w:tr>
      <w:tr w:rsidR="00D54F47" w:rsidRPr="00C90B55" w:rsidTr="00D54F47">
        <w:trPr>
          <w:jc w:val="center"/>
        </w:trPr>
        <w:tc>
          <w:tcPr>
            <w:tcW w:w="537" w:type="dxa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7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Muharrem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Hamdi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Cela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8552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17/104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256.3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22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15763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346786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banesë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2273317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2620103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Proc.regjis.</w:t>
            </w:r>
          </w:p>
        </w:tc>
      </w:tr>
      <w:tr w:rsidR="00D54F47" w:rsidRPr="00C90B55" w:rsidTr="00D54F47">
        <w:trPr>
          <w:jc w:val="center"/>
        </w:trPr>
        <w:tc>
          <w:tcPr>
            <w:tcW w:w="537" w:type="dxa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8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Maksim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Qamil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Beja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8552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9/175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181.5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35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17982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629370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629370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Proc.regjis.</w:t>
            </w:r>
          </w:p>
        </w:tc>
      </w:tr>
      <w:tr w:rsidR="00D54F47" w:rsidRPr="00C90B55" w:rsidTr="00D54F47">
        <w:trPr>
          <w:jc w:val="center"/>
        </w:trPr>
        <w:tc>
          <w:tcPr>
            <w:tcW w:w="537" w:type="dxa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9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Mehmet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Rrahman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Jakupi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8552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13/102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878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8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15763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126104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126104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Proc.regjis.</w:t>
            </w:r>
          </w:p>
        </w:tc>
      </w:tr>
      <w:tr w:rsidR="00D54F47" w:rsidRPr="00C90B55" w:rsidTr="00D54F47">
        <w:trPr>
          <w:jc w:val="center"/>
        </w:trPr>
        <w:tc>
          <w:tcPr>
            <w:tcW w:w="537" w:type="dxa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10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Arben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Gjini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8552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10/203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716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8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17982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143856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143856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Proc.regjis.</w:t>
            </w:r>
          </w:p>
        </w:tc>
      </w:tr>
      <w:tr w:rsidR="00D54F47" w:rsidRPr="00C90B55" w:rsidTr="00D54F47">
        <w:trPr>
          <w:jc w:val="center"/>
        </w:trPr>
        <w:tc>
          <w:tcPr>
            <w:tcW w:w="537" w:type="dxa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11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Rasim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smartTag w:uri="urn:schemas-microsoft-com:office:smarttags" w:element="place">
              <w:r w:rsidRPr="00C90B55">
                <w:rPr>
                  <w:sz w:val="20"/>
                </w:rPr>
                <w:t>Bali</w:t>
              </w:r>
            </w:smartTag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8552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17/50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460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63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15763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993069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993069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Proc.regjis.</w:t>
            </w:r>
          </w:p>
        </w:tc>
      </w:tr>
      <w:tr w:rsidR="00D54F47" w:rsidRPr="00C90B55" w:rsidTr="00D54F47">
        <w:trPr>
          <w:jc w:val="center"/>
        </w:trPr>
        <w:tc>
          <w:tcPr>
            <w:tcW w:w="537" w:type="dxa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Ali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Avdyl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Jaupi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8552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15/102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170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23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15763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362549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362549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Proc.regjis.</w:t>
            </w:r>
          </w:p>
        </w:tc>
      </w:tr>
      <w:tr w:rsidR="00D54F47" w:rsidRPr="00C90B55" w:rsidTr="00D54F47">
        <w:trPr>
          <w:jc w:val="center"/>
        </w:trPr>
        <w:tc>
          <w:tcPr>
            <w:tcW w:w="537" w:type="dxa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Skënder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Qerim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Kazazi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8552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13/14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210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7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15763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110341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110341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Proc.regjis.</w:t>
            </w:r>
          </w:p>
        </w:tc>
      </w:tr>
      <w:tr w:rsidR="00D54F47" w:rsidRPr="00C90B55" w:rsidTr="00D54F47">
        <w:trPr>
          <w:jc w:val="center"/>
        </w:trPr>
        <w:tc>
          <w:tcPr>
            <w:tcW w:w="537" w:type="dxa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14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Hajdar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Rrena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8552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3/158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285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62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15763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977306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977306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Konf.zvrpp</w:t>
            </w:r>
          </w:p>
        </w:tc>
      </w:tr>
      <w:tr w:rsidR="00D54F47" w:rsidRPr="00C90B55" w:rsidTr="00D54F47">
        <w:trPr>
          <w:jc w:val="center"/>
        </w:trPr>
        <w:tc>
          <w:tcPr>
            <w:tcW w:w="537" w:type="dxa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15</w:t>
            </w:r>
          </w:p>
        </w:tc>
        <w:tc>
          <w:tcPr>
            <w:tcW w:w="0" w:type="auto"/>
            <w:gridSpan w:val="3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Bashkëpronarët Gjylsheni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8552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10/205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262.2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17982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215784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215784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Konf.zvrpp</w:t>
            </w:r>
          </w:p>
        </w:tc>
      </w:tr>
      <w:tr w:rsidR="00D54F47" w:rsidRPr="00C90B55" w:rsidTr="00D54F47">
        <w:trPr>
          <w:jc w:val="center"/>
        </w:trPr>
        <w:tc>
          <w:tcPr>
            <w:tcW w:w="537" w:type="dxa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Shuma: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498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8162853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2273317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  <w:r w:rsidRPr="00C90B55">
              <w:rPr>
                <w:sz w:val="20"/>
              </w:rPr>
              <w:t>10436170</w:t>
            </w:r>
          </w:p>
        </w:tc>
        <w:tc>
          <w:tcPr>
            <w:tcW w:w="0" w:type="auto"/>
          </w:tcPr>
          <w:p w:rsidR="00D54F47" w:rsidRPr="00C90B55" w:rsidRDefault="00D54F47" w:rsidP="00D54F47">
            <w:pPr>
              <w:pStyle w:val="Tabele"/>
              <w:widowControl w:val="0"/>
              <w:rPr>
                <w:sz w:val="20"/>
              </w:rPr>
            </w:pPr>
          </w:p>
        </w:tc>
      </w:tr>
    </w:tbl>
    <w:p w:rsidR="00D54F47" w:rsidRPr="00100DF4" w:rsidRDefault="00D54F47" w:rsidP="00D54F47">
      <w:pPr>
        <w:pStyle w:val="Paragrafi0"/>
        <w:ind w:firstLine="0"/>
        <w:rPr>
          <w:sz w:val="21"/>
          <w:szCs w:val="21"/>
        </w:rPr>
      </w:pPr>
    </w:p>
    <w:p w:rsidR="00D54F47" w:rsidRDefault="00D54F47" w:rsidP="00D54F47">
      <w:pPr>
        <w:pStyle w:val="Paragrafi0"/>
        <w:rPr>
          <w:sz w:val="21"/>
          <w:szCs w:val="21"/>
        </w:rPr>
      </w:pPr>
    </w:p>
    <w:p w:rsidR="00D54F47" w:rsidRDefault="00D54F47" w:rsidP="00D54F47">
      <w:pPr>
        <w:pStyle w:val="Paragrafi0"/>
        <w:rPr>
          <w:sz w:val="21"/>
          <w:szCs w:val="21"/>
        </w:rPr>
      </w:pPr>
    </w:p>
    <w:p w:rsidR="00D54F47" w:rsidRDefault="00D54F47" w:rsidP="00D54F47">
      <w:pPr>
        <w:pStyle w:val="Paragrafi0"/>
        <w:rPr>
          <w:sz w:val="21"/>
          <w:szCs w:val="21"/>
        </w:rPr>
      </w:pPr>
    </w:p>
    <w:p w:rsidR="00D54F47" w:rsidRDefault="00D54F47" w:rsidP="00D54F47">
      <w:pPr>
        <w:pStyle w:val="Paragrafi0"/>
        <w:rPr>
          <w:sz w:val="21"/>
          <w:szCs w:val="21"/>
        </w:rPr>
      </w:pPr>
    </w:p>
    <w:p w:rsidR="00D54F47" w:rsidRPr="00100DF4" w:rsidRDefault="00D54F47" w:rsidP="00D54F47">
      <w:pPr>
        <w:pStyle w:val="Paragrafi0"/>
        <w:rPr>
          <w:sz w:val="21"/>
          <w:szCs w:val="21"/>
        </w:rPr>
      </w:pPr>
    </w:p>
    <w:p w:rsidR="00016606" w:rsidRDefault="00016606"/>
    <w:sectPr w:rsidR="00016606" w:rsidSect="00D54F47">
      <w:pgSz w:w="15840" w:h="12240" w:orient="landscape"/>
      <w:pgMar w:top="1797" w:right="1440" w:bottom="179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66167">
      <w:r>
        <w:separator/>
      </w:r>
    </w:p>
  </w:endnote>
  <w:endnote w:type="continuationSeparator" w:id="0">
    <w:p w:rsidR="00000000" w:rsidRDefault="00B66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F47" w:rsidRDefault="00D54F47" w:rsidP="00D54F4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54F47" w:rsidRDefault="00D54F47" w:rsidP="00D54F4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F47" w:rsidRDefault="00D54F47" w:rsidP="00D54F4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3935</w:t>
    </w:r>
    <w:r>
      <w:rPr>
        <w:rStyle w:val="PageNumber"/>
      </w:rPr>
      <w:fldChar w:fldCharType="end"/>
    </w:r>
  </w:p>
  <w:p w:rsidR="00D54F47" w:rsidRDefault="00D54F47" w:rsidP="00D54F4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66167">
      <w:r>
        <w:separator/>
      </w:r>
    </w:p>
  </w:footnote>
  <w:footnote w:type="continuationSeparator" w:id="0">
    <w:p w:rsidR="00000000" w:rsidRDefault="00B66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4F47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67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4F47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B5B406-CBD5-49E0-9983-FAB2EBE8A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F47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D54F47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D54F4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D54F47"/>
    <w:rPr>
      <w:b/>
      <w:bCs/>
    </w:rPr>
  </w:style>
  <w:style w:type="paragraph" w:styleId="Footer">
    <w:name w:val="footer"/>
    <w:basedOn w:val="Normal"/>
    <w:rsid w:val="00D54F4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54F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2019-03-18T13:32:00Z</dcterms:created>
  <dcterms:modified xsi:type="dcterms:W3CDTF">2019-03-18T13:32:00Z</dcterms:modified>
</cp:coreProperties>
</file>