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A87" w:rsidRPr="00100DF4" w:rsidRDefault="003D5A87" w:rsidP="003D5A87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100DF4">
        <w:rPr>
          <w:sz w:val="21"/>
          <w:szCs w:val="21"/>
        </w:rPr>
        <w:t>VENDIM</w:t>
      </w:r>
    </w:p>
    <w:p w:rsidR="003D5A87" w:rsidRPr="00100DF4" w:rsidRDefault="003D5A87" w:rsidP="003D5A87">
      <w:pPr>
        <w:pStyle w:val="NumriData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Nr.514, datë 13.5.2009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</w:p>
    <w:p w:rsidR="003D5A87" w:rsidRPr="00100DF4" w:rsidRDefault="003D5A87" w:rsidP="003D5A87">
      <w:pPr>
        <w:pStyle w:val="Titulli0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PËR SHPRONËSIMIN, PËR INTERES PUBLIK, TË PRONARËVE TË PASURIVE TË PALUAJTSHME, PRONË PRIVATE, QË PREKEN NGA NDËRTIMI I PIKËS SË HEDHJES SË MBETURINAVE, NË QYTETIN E BAJRAM CURRIT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</w:p>
    <w:p w:rsidR="003D5A87" w:rsidRPr="00100DF4" w:rsidRDefault="003D5A87" w:rsidP="003D5A87">
      <w:pPr>
        <w:pStyle w:val="BazLigjPropozues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Në mbështetje të nenit 100 të Kushtetutës, të neneve 5, pika 1, 20 e 21 të   ligjit nr.8561, datë 22.12.1999 “Për shpronësimet dhe marrjen në përdorim të përkohshëm të pasurisë, pronë private, për interes publik”, dhe të nenit 8 të ligjit nr.9836, datë 26.11.2007 “Për Buxhetin e Shtetit të vitit 2008”,</w:t>
      </w:r>
      <w:r>
        <w:rPr>
          <w:sz w:val="21"/>
          <w:szCs w:val="21"/>
        </w:rPr>
        <w:t xml:space="preserve"> të ndryshuar, me propozimin e m</w:t>
      </w:r>
      <w:r w:rsidRPr="00100DF4">
        <w:rPr>
          <w:sz w:val="21"/>
          <w:szCs w:val="21"/>
        </w:rPr>
        <w:t>inistrit të Punëve Publike, Transportit dhe Telekomunikacionit, Këshilli i Ministrave                                  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</w:p>
    <w:p w:rsidR="003D5A87" w:rsidRPr="00100DF4" w:rsidRDefault="003D5A87" w:rsidP="003D5A87">
      <w:pPr>
        <w:pStyle w:val="VENDOSI0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VENDOSI: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</w:p>
    <w:p w:rsidR="003D5A87" w:rsidRPr="00100DF4" w:rsidRDefault="003D5A87" w:rsidP="003D5A8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1.  Shpronësimin, për interes publik, të pronarëve të pasurive të paluajtshme, pronë private, që preken nga ndërtimi i pikës së hedhjes së mbeturinave, në qytetin e Bajram Currit.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2. Shpronësimi të bëhet në favor të bashkisë së Bajram Currit.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3. Pronarët e pasurive të paluajtshme, që shpronësohen, të kompensohen në vlerë të plotë, sipas masës përkatëse, që paraqitet në tabelën, që i bashkëlidhet këtij vendimi, për sipërfaqen 15 000 (pesëmbëdhjetë mijë) m², tokë bujqësore, me vlerë të përgjithshme  shpronësimi 4 530 000 (katër milionë e pesëqind e tridhjetë mijë) lekë.  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4.  Ky fond, prej 4 530 000 (katër milionë e pesëqind e tridhjetë mijë) lekësh, të përballohet nga llogaria e veçantë e Ministrisë së Financave në Bankën e Shqipërisë “Fondi i shpronësimeve”. 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5. Shpenzimet procedurale, në vlerën 191 600 (njëqind e nëntëdhjetë e një mijë e gjashtëqind) lekë, të përballohen nga bashkia e Bajram Currit.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6. Shpronësimi të fillojë më 30.5.2009 dhe të përfundojë më 30.8.2009. 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7. Pronarët e përmendur në listën, që i bashkëlidhet këtij vendimi, për të cilët është bërë shënimi “Proces gjyqësor”, të kompensohen, për efekt shpronësimi, pasi të ketë përfunduar procesi gjyqësor dhe pasi të paraqesin dokumentacionin e plotë të pronësisë dhe vendimin e formës së prerë të gjykatës, pranë bashkisë së Bajram Currit.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8.  Bashkia e Bajram Currit të kryejë verifikimet për përputhshmërinë e sipërfaqeve, që shpronësohen, me numrat e pasurive në pronësi të pronarëve. 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9. Ngarkohen Ministria e Punëve Publike, Transportit dhe Telekomunikacionit, Ministria e Financave dhe bashkia e Bajram Currit për zbatimin e këtij vendimi.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Ky vendim hyn në fuqi menjëherë dhe botohet në Fletoren Zyrtare.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</w:p>
    <w:p w:rsidR="003D5A87" w:rsidRPr="00100DF4" w:rsidRDefault="003D5A87" w:rsidP="003D5A87">
      <w:pPr>
        <w:pStyle w:val="Autoriteti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Kryeministri</w:t>
      </w:r>
    </w:p>
    <w:p w:rsidR="003D5A87" w:rsidRPr="00100DF4" w:rsidRDefault="003D5A87" w:rsidP="003D5A87">
      <w:pPr>
        <w:pStyle w:val="AutoritetiEmer"/>
        <w:rPr>
          <w:sz w:val="21"/>
          <w:szCs w:val="21"/>
        </w:rPr>
      </w:pPr>
      <w:r w:rsidRPr="00100DF4">
        <w:rPr>
          <w:sz w:val="21"/>
          <w:szCs w:val="21"/>
        </w:rPr>
        <w:t>Sali Berisha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</w:p>
    <w:p w:rsidR="003D5A87" w:rsidRDefault="003D5A87" w:rsidP="003D5A87">
      <w:pPr>
        <w:pStyle w:val="Paragrafi0"/>
        <w:rPr>
          <w:sz w:val="21"/>
          <w:szCs w:val="21"/>
        </w:rPr>
      </w:pPr>
    </w:p>
    <w:p w:rsidR="003D5A87" w:rsidRDefault="003D5A87" w:rsidP="003D5A87">
      <w:pPr>
        <w:pStyle w:val="Paragrafi0"/>
        <w:rPr>
          <w:sz w:val="21"/>
          <w:szCs w:val="21"/>
        </w:rPr>
      </w:pPr>
    </w:p>
    <w:p w:rsidR="003D5A87" w:rsidRDefault="003D5A87" w:rsidP="003D5A87">
      <w:pPr>
        <w:pStyle w:val="Paragrafi0"/>
        <w:rPr>
          <w:sz w:val="21"/>
          <w:szCs w:val="21"/>
        </w:rPr>
      </w:pPr>
    </w:p>
    <w:p w:rsidR="003D5A87" w:rsidRDefault="003D5A87" w:rsidP="003D5A87">
      <w:pPr>
        <w:pStyle w:val="Paragrafi0"/>
        <w:rPr>
          <w:sz w:val="21"/>
          <w:szCs w:val="21"/>
        </w:rPr>
      </w:pPr>
    </w:p>
    <w:p w:rsidR="003D5A87" w:rsidRDefault="003D5A87" w:rsidP="003D5A87">
      <w:pPr>
        <w:pStyle w:val="Paragrafi0"/>
        <w:rPr>
          <w:sz w:val="21"/>
          <w:szCs w:val="21"/>
        </w:rPr>
      </w:pPr>
    </w:p>
    <w:p w:rsidR="003D5A87" w:rsidRDefault="003D5A87" w:rsidP="003D5A87">
      <w:pPr>
        <w:pStyle w:val="Paragrafi0"/>
        <w:rPr>
          <w:sz w:val="21"/>
          <w:szCs w:val="21"/>
        </w:rPr>
      </w:pPr>
    </w:p>
    <w:p w:rsidR="003D5A87" w:rsidRDefault="003D5A87" w:rsidP="003D5A87">
      <w:pPr>
        <w:pStyle w:val="Paragrafi0"/>
        <w:rPr>
          <w:sz w:val="21"/>
          <w:szCs w:val="21"/>
        </w:rPr>
      </w:pPr>
    </w:p>
    <w:p w:rsidR="003D5A87" w:rsidRDefault="003D5A87" w:rsidP="003D5A87">
      <w:pPr>
        <w:pStyle w:val="Paragrafi0"/>
        <w:rPr>
          <w:sz w:val="21"/>
          <w:szCs w:val="21"/>
        </w:rPr>
      </w:pPr>
    </w:p>
    <w:p w:rsidR="003D5A87" w:rsidRDefault="003D5A87" w:rsidP="003D5A87">
      <w:pPr>
        <w:pStyle w:val="Paragrafi0"/>
        <w:rPr>
          <w:sz w:val="21"/>
          <w:szCs w:val="21"/>
        </w:rPr>
      </w:pPr>
    </w:p>
    <w:p w:rsidR="003D5A87" w:rsidRDefault="003D5A87" w:rsidP="003D5A87">
      <w:pPr>
        <w:pStyle w:val="Paragrafi0"/>
        <w:rPr>
          <w:sz w:val="21"/>
          <w:szCs w:val="21"/>
        </w:rPr>
      </w:pPr>
    </w:p>
    <w:p w:rsidR="003D5A87" w:rsidRPr="00100DF4" w:rsidRDefault="003D5A87" w:rsidP="003D5A87">
      <w:pPr>
        <w:pStyle w:val="Paragrafi0"/>
        <w:rPr>
          <w:sz w:val="21"/>
          <w:szCs w:val="21"/>
        </w:rPr>
      </w:pPr>
    </w:p>
    <w:p w:rsidR="003D5A87" w:rsidRDefault="003D5A87" w:rsidP="003D5A87">
      <w:pPr>
        <w:pStyle w:val="TitulliTitull"/>
        <w:keepNext w:val="0"/>
        <w:rPr>
          <w:sz w:val="21"/>
          <w:szCs w:val="21"/>
        </w:rPr>
        <w:sectPr w:rsidR="003D5A87" w:rsidSect="003D5A87"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p w:rsidR="003D5A87" w:rsidRPr="00100DF4" w:rsidRDefault="003D5A87" w:rsidP="003D5A87">
      <w:pPr>
        <w:pStyle w:val="TitulliTitull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Lista e pronarëve që shpronësohen si rezultat i ndërtimit të “Pikës së hedhjes së mbeturinave B.Curri”</w:t>
      </w:r>
    </w:p>
    <w:p w:rsidR="003D5A87" w:rsidRPr="00100DF4" w:rsidRDefault="003D5A87" w:rsidP="003D5A87">
      <w:pPr>
        <w:pStyle w:val="Paragrafi0"/>
        <w:rPr>
          <w:sz w:val="21"/>
          <w:szCs w:val="21"/>
        </w:rPr>
      </w:pPr>
    </w:p>
    <w:tbl>
      <w:tblPr>
        <w:tblStyle w:val="Strong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958"/>
        <w:gridCol w:w="748"/>
        <w:gridCol w:w="969"/>
        <w:gridCol w:w="925"/>
        <w:gridCol w:w="1113"/>
        <w:gridCol w:w="1570"/>
        <w:gridCol w:w="1287"/>
        <w:gridCol w:w="1116"/>
        <w:gridCol w:w="1423"/>
        <w:gridCol w:w="1699"/>
      </w:tblGrid>
      <w:tr w:rsidR="003D5A87" w:rsidRPr="00E12412" w:rsidTr="003D5A87">
        <w:trPr>
          <w:jc w:val="center"/>
        </w:trPr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Nr.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Emri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Atësia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Mbiemri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Nr.</w:t>
            </w:r>
          </w:p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pasurisë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Zona</w:t>
            </w:r>
          </w:p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kadastrale</w:t>
            </w:r>
          </w:p>
        </w:tc>
        <w:tc>
          <w:tcPr>
            <w:tcW w:w="1570" w:type="dxa"/>
          </w:tcPr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Lloji</w:t>
            </w:r>
          </w:p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i</w:t>
            </w:r>
          </w:p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pasurisë</w:t>
            </w:r>
          </w:p>
        </w:tc>
        <w:tc>
          <w:tcPr>
            <w:tcW w:w="1287" w:type="dxa"/>
          </w:tcPr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Çmimi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Sipërfaqja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Vlera totale</w:t>
            </w:r>
          </w:p>
        </w:tc>
        <w:tc>
          <w:tcPr>
            <w:tcW w:w="1699" w:type="dxa"/>
          </w:tcPr>
          <w:p w:rsidR="003D5A87" w:rsidRPr="00E12412" w:rsidRDefault="003D5A87" w:rsidP="003D5A8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E12412">
              <w:rPr>
                <w:b/>
                <w:sz w:val="20"/>
              </w:rPr>
              <w:t>Shënime</w:t>
            </w:r>
          </w:p>
        </w:tc>
      </w:tr>
      <w:tr w:rsidR="003D5A87" w:rsidRPr="00E12412" w:rsidTr="003D5A87">
        <w:trPr>
          <w:jc w:val="center"/>
        </w:trPr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Erenik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Zenun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Gjyriqi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1/18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1347</w:t>
            </w:r>
          </w:p>
        </w:tc>
        <w:tc>
          <w:tcPr>
            <w:tcW w:w="1570" w:type="dxa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Tokë bujqësore</w:t>
            </w:r>
          </w:p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(vreshtë)</w:t>
            </w:r>
          </w:p>
        </w:tc>
        <w:tc>
          <w:tcPr>
            <w:tcW w:w="1287" w:type="dxa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302</w:t>
            </w:r>
            <w:r>
              <w:rPr>
                <w:sz w:val="20"/>
              </w:rPr>
              <w:t xml:space="preserve"> </w:t>
            </w:r>
            <w:r w:rsidRPr="00E12412">
              <w:rPr>
                <w:sz w:val="20"/>
              </w:rPr>
              <w:t>lekë/m</w:t>
            </w:r>
            <w:r w:rsidRPr="00E12412">
              <w:rPr>
                <w:sz w:val="20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12000 m</w:t>
            </w:r>
            <w:r w:rsidRPr="00E12412">
              <w:rPr>
                <w:sz w:val="20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3 624 000 lekë</w:t>
            </w:r>
          </w:p>
        </w:tc>
        <w:tc>
          <w:tcPr>
            <w:tcW w:w="1699" w:type="dxa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Proces gjyqësore</w:t>
            </w:r>
          </w:p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</w:p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 xml:space="preserve">Pretendon </w:t>
            </w:r>
          </w:p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Ali Gjongecaj</w:t>
            </w:r>
          </w:p>
        </w:tc>
      </w:tr>
      <w:tr w:rsidR="003D5A87" w:rsidRPr="00E12412" w:rsidTr="003D5A87">
        <w:trPr>
          <w:jc w:val="center"/>
        </w:trPr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Abdullah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Adem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Gjyriqi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1/16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1347</w:t>
            </w:r>
          </w:p>
        </w:tc>
        <w:tc>
          <w:tcPr>
            <w:tcW w:w="1570" w:type="dxa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Tokë bujqësore</w:t>
            </w:r>
          </w:p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(vreshtë)</w:t>
            </w:r>
          </w:p>
        </w:tc>
        <w:tc>
          <w:tcPr>
            <w:tcW w:w="1287" w:type="dxa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302</w:t>
            </w:r>
            <w:r>
              <w:rPr>
                <w:sz w:val="20"/>
              </w:rPr>
              <w:t xml:space="preserve"> </w:t>
            </w:r>
            <w:r w:rsidRPr="00E12412">
              <w:rPr>
                <w:sz w:val="20"/>
              </w:rPr>
              <w:t>lekë/m</w:t>
            </w:r>
            <w:r w:rsidRPr="00E12412">
              <w:rPr>
                <w:sz w:val="20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3000 m</w:t>
            </w:r>
            <w:r w:rsidRPr="00E12412">
              <w:rPr>
                <w:sz w:val="20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906 000 lekë</w:t>
            </w:r>
          </w:p>
        </w:tc>
        <w:tc>
          <w:tcPr>
            <w:tcW w:w="1699" w:type="dxa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Proces gjyqësore</w:t>
            </w:r>
          </w:p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</w:p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 xml:space="preserve">Pretendon </w:t>
            </w:r>
          </w:p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Ali Gjongecaj</w:t>
            </w:r>
          </w:p>
        </w:tc>
      </w:tr>
      <w:tr w:rsidR="003D5A87" w:rsidRPr="00E12412" w:rsidTr="003D5A87">
        <w:trPr>
          <w:jc w:val="center"/>
        </w:trPr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Shuma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570" w:type="dxa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287" w:type="dxa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15 000 m</w:t>
            </w:r>
            <w:r w:rsidRPr="00E12412">
              <w:rPr>
                <w:sz w:val="20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  <w:r w:rsidRPr="00E12412">
              <w:rPr>
                <w:sz w:val="20"/>
              </w:rPr>
              <w:t>4 530 000 lekë</w:t>
            </w:r>
          </w:p>
        </w:tc>
        <w:tc>
          <w:tcPr>
            <w:tcW w:w="1699" w:type="dxa"/>
          </w:tcPr>
          <w:p w:rsidR="003D5A87" w:rsidRPr="00E12412" w:rsidRDefault="003D5A87" w:rsidP="003D5A87">
            <w:pPr>
              <w:pStyle w:val="Tabele"/>
              <w:widowControl w:val="0"/>
              <w:rPr>
                <w:sz w:val="20"/>
              </w:rPr>
            </w:pPr>
          </w:p>
        </w:tc>
      </w:tr>
    </w:tbl>
    <w:p w:rsidR="003D5A87" w:rsidRDefault="003D5A87" w:rsidP="003D5A87">
      <w:pPr>
        <w:pStyle w:val="Akti"/>
        <w:keepNext w:val="0"/>
        <w:rPr>
          <w:sz w:val="21"/>
          <w:szCs w:val="21"/>
        </w:rPr>
      </w:pPr>
    </w:p>
    <w:p w:rsidR="003D5A87" w:rsidRDefault="003D5A87" w:rsidP="003D5A87">
      <w:pPr>
        <w:pStyle w:val="Akti"/>
        <w:keepNext w:val="0"/>
        <w:rPr>
          <w:sz w:val="21"/>
          <w:szCs w:val="21"/>
        </w:rPr>
      </w:pPr>
    </w:p>
    <w:p w:rsidR="003D5A87" w:rsidRDefault="003D5A87" w:rsidP="003D5A87">
      <w:pPr>
        <w:pStyle w:val="Akti"/>
        <w:keepNext w:val="0"/>
        <w:rPr>
          <w:sz w:val="21"/>
          <w:szCs w:val="21"/>
        </w:rPr>
      </w:pPr>
    </w:p>
    <w:p w:rsidR="003D5A87" w:rsidRDefault="003D5A87" w:rsidP="003D5A87">
      <w:pPr>
        <w:pStyle w:val="Akti"/>
        <w:keepNext w:val="0"/>
        <w:rPr>
          <w:sz w:val="21"/>
          <w:szCs w:val="21"/>
        </w:rPr>
      </w:pPr>
    </w:p>
    <w:p w:rsidR="003D5A87" w:rsidRDefault="003D5A87" w:rsidP="003D5A87">
      <w:pPr>
        <w:pStyle w:val="Akti"/>
        <w:keepNext w:val="0"/>
        <w:rPr>
          <w:sz w:val="21"/>
          <w:szCs w:val="21"/>
        </w:rPr>
        <w:sectPr w:rsidR="003D5A87" w:rsidSect="003D5A87">
          <w:pgSz w:w="15840" w:h="12240" w:orient="landscape" w:code="1"/>
          <w:pgMar w:top="1418" w:right="1418" w:bottom="1418" w:left="1418" w:header="1304" w:footer="1134" w:gutter="0"/>
          <w:cols w:space="720"/>
          <w:docGrid w:linePitch="360"/>
        </w:sectPr>
      </w:pPr>
    </w:p>
    <w:p w:rsidR="00016606" w:rsidRDefault="00016606" w:rsidP="003D5A87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A427B">
      <w:r>
        <w:separator/>
      </w:r>
    </w:p>
  </w:endnote>
  <w:endnote w:type="continuationSeparator" w:id="0">
    <w:p w:rsidR="00000000" w:rsidRDefault="009A4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A427B">
      <w:r>
        <w:separator/>
      </w:r>
    </w:p>
  </w:footnote>
  <w:footnote w:type="continuationSeparator" w:id="0">
    <w:p w:rsidR="00000000" w:rsidRDefault="009A4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D5A87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384E"/>
    <w:rsid w:val="000239EC"/>
    <w:rsid w:val="000253C1"/>
    <w:rsid w:val="0002748B"/>
    <w:rsid w:val="00030428"/>
    <w:rsid w:val="00030839"/>
    <w:rsid w:val="00030B1F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1ECE"/>
    <w:rsid w:val="00273B1C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B780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3DA9"/>
    <w:rsid w:val="003D549F"/>
    <w:rsid w:val="003D5A87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62E4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41B0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22FC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27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6288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40A8"/>
    <w:rsid w:val="00D50BDE"/>
    <w:rsid w:val="00D51C6D"/>
    <w:rsid w:val="00D525D5"/>
    <w:rsid w:val="00D53C6C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F0CD135-2589-4C2B-809E-B220DAD8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A87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D5A87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VENDOSIChar">
    <w:name w:val="VENDOSI Char"/>
    <w:basedOn w:val="DefaultParagraphFont"/>
    <w:link w:val="VENDOSI0"/>
    <w:rsid w:val="003D5A87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3D5A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2019-03-18T13:32:00Z</dcterms:created>
  <dcterms:modified xsi:type="dcterms:W3CDTF">2019-03-18T13:32:00Z</dcterms:modified>
</cp:coreProperties>
</file>