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DCD" w:rsidRDefault="00103DCD" w:rsidP="00103DCD">
      <w:pPr>
        <w:pStyle w:val="Akti"/>
        <w:keepNext w:val="0"/>
      </w:pPr>
      <w:bookmarkStart w:id="0" w:name="_GoBack"/>
      <w:bookmarkEnd w:id="0"/>
      <w:r>
        <w:t>Vendim</w:t>
      </w:r>
    </w:p>
    <w:p w:rsidR="00103DCD" w:rsidRDefault="00103DCD" w:rsidP="00103DCD">
      <w:pPr>
        <w:pStyle w:val="NumriData"/>
        <w:keepNext w:val="0"/>
      </w:pPr>
      <w:r>
        <w:t>Nr.592, datë 25.5.2009</w:t>
      </w: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Titulli0"/>
        <w:keepNext w:val="0"/>
      </w:pPr>
      <w:r>
        <w:t>Për dhënien në përdorim të disa mjediseve autoritetit të kontrollit shtetëror të eksporteve</w:t>
      </w: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  <w:r>
        <w:t>Në mbështetje të nenit 100 të Kushtetutës dhe të neneve 10 e 13 të ligjit nr.8743, datë 22.2.2001 “Për pronat e paluajtshme të shtetit”, të ndryshuar, me propozimin e zëvendëskryeministrit, Këshilli i Ministrave</w:t>
      </w: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VENDOSI0"/>
        <w:keepNext w:val="0"/>
      </w:pPr>
      <w:r>
        <w:t>Vendosi:</w:t>
      </w: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  <w:r>
        <w:t>1. Dhënien në përdorim Autoritetit të Kontrollit Shtetëror të Eksporteve të disa mjediseve, konkretisht, katin e pestë teknik të ndërtesës, në adresën “Pallati nr.4, rruga “Skënderbej”, Tiranë, në administrim të Drejtorisë së Shërbimit Diplomatik, sipas planimetrisë, që i bashkëlidhet këtij vendimi.</w:t>
      </w: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  <w:r>
        <w:t>2. Për ndërhyrjet në konstruksion ose për përshtatjen e mjediseve, të dhëna në përdorim, Autoriteti i Kontrollit Shtetëror të Eksporteve duhet të marrë detyrimisht miratimin e administratorit të pasurisë.</w:t>
      </w:r>
    </w:p>
    <w:p w:rsidR="00103DCD" w:rsidRDefault="00103DCD" w:rsidP="00103DCD">
      <w:pPr>
        <w:pStyle w:val="Paragrafi0"/>
      </w:pPr>
      <w:r>
        <w:t>3. Ngarkohen Ministria e Punëve të Jashtme, Autoriteti i Kontrollit Shtetëror të Eksporteve dhe Drejtoria e Shërbimit Diplomatik për zbatimin e këtij vendimi.</w:t>
      </w:r>
    </w:p>
    <w:p w:rsidR="00103DCD" w:rsidRDefault="00103DCD" w:rsidP="00103DCD">
      <w:pPr>
        <w:pStyle w:val="Paragrafi0"/>
      </w:pPr>
      <w:r>
        <w:t>Ky vendim hyn në fuqi pas botimit në Fletoren Zyrtare.</w:t>
      </w: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Autoriteti"/>
        <w:keepNext w:val="0"/>
      </w:pPr>
      <w:r>
        <w:t>Kryeministri</w:t>
      </w:r>
    </w:p>
    <w:p w:rsidR="00103DCD" w:rsidRDefault="00103DCD" w:rsidP="00103DCD">
      <w:pPr>
        <w:pStyle w:val="AutoritetiEmer"/>
      </w:pPr>
      <w:r>
        <w:t>Sali Berisha</w:t>
      </w: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</w:pPr>
    </w:p>
    <w:p w:rsidR="00103DCD" w:rsidRDefault="00103DCD" w:rsidP="00103DCD">
      <w:pPr>
        <w:pStyle w:val="Paragrafi0"/>
        <w:jc w:val="center"/>
      </w:pPr>
    </w:p>
    <w:p w:rsidR="00103DCD" w:rsidRDefault="00772068" w:rsidP="00103DCD">
      <w:pPr>
        <w:pStyle w:val="Figure"/>
      </w:pPr>
      <w:r>
        <w:rPr>
          <w:noProof/>
        </w:rPr>
        <w:drawing>
          <wp:inline distT="0" distB="0" distL="0" distR="0">
            <wp:extent cx="5756910" cy="7200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DCD" w:rsidRDefault="00103DCD" w:rsidP="00103DCD">
      <w:pPr>
        <w:pStyle w:val="Paragrafi0"/>
        <w:jc w:val="center"/>
      </w:pPr>
    </w:p>
    <w:p w:rsidR="00103DCD" w:rsidRDefault="00103DCD" w:rsidP="00103DCD">
      <w:pPr>
        <w:pStyle w:val="Paragrafi0"/>
        <w:jc w:val="center"/>
      </w:pPr>
    </w:p>
    <w:p w:rsidR="00103DCD" w:rsidRDefault="00103DCD" w:rsidP="00103DCD">
      <w:pPr>
        <w:pStyle w:val="Paragrafi0"/>
        <w:jc w:val="center"/>
      </w:pPr>
    </w:p>
    <w:p w:rsidR="00103DCD" w:rsidRDefault="00103DCD" w:rsidP="00103DCD">
      <w:pPr>
        <w:pStyle w:val="Paragrafi0"/>
        <w:jc w:val="center"/>
      </w:pPr>
    </w:p>
    <w:sectPr w:rsidR="00103D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3DC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3DCD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068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F9DBCC-65B9-409C-9F14-CF1031C3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103DC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03DC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