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ED9" w:rsidRPr="00BA480C" w:rsidRDefault="00183ED9" w:rsidP="00183ED9">
      <w:pPr>
        <w:pStyle w:val="Akti"/>
      </w:pPr>
      <w:bookmarkStart w:id="0" w:name="_GoBack"/>
      <w:bookmarkEnd w:id="0"/>
      <w:r w:rsidRPr="00BA480C">
        <w:t>VENDIM </w:t>
      </w:r>
    </w:p>
    <w:p w:rsidR="00183ED9" w:rsidRPr="00AA3D14" w:rsidRDefault="00183ED9" w:rsidP="00183ED9">
      <w:pPr>
        <w:pStyle w:val="NumriData"/>
        <w:keepNext w:val="0"/>
        <w:rPr>
          <w:szCs w:val="22"/>
        </w:rPr>
      </w:pPr>
      <w:r w:rsidRPr="00AA3D14">
        <w:rPr>
          <w:szCs w:val="22"/>
        </w:rPr>
        <w:t xml:space="preserve"> Nr.560, datë 28.5.2009</w:t>
      </w:r>
    </w:p>
    <w:p w:rsidR="00183ED9" w:rsidRPr="00AA3D14" w:rsidRDefault="00183ED9" w:rsidP="00183ED9">
      <w:pPr>
        <w:pStyle w:val="Paragrafi0"/>
        <w:rPr>
          <w:szCs w:val="22"/>
        </w:rPr>
      </w:pPr>
    </w:p>
    <w:p w:rsidR="00183ED9" w:rsidRPr="00AA3D14" w:rsidRDefault="00183ED9" w:rsidP="00183ED9">
      <w:pPr>
        <w:pStyle w:val="Titulli0"/>
        <w:keepNext w:val="0"/>
      </w:pPr>
      <w:r w:rsidRPr="00AA3D14">
        <w:t>PËR SHPRONËSIMIN, PËR INTERES PUBLIK, TË PRONARËVE TË PASURIVE TË PALUAJTSHME, PRONË PRIVATE, QË PREKEN NGA NDËRTIMI I SEGMENTIT RRUGOR KALIMASH-MORINË</w:t>
      </w:r>
    </w:p>
    <w:p w:rsidR="00183ED9" w:rsidRPr="00AA3D14" w:rsidRDefault="00183ED9" w:rsidP="00183ED9">
      <w:pPr>
        <w:pStyle w:val="Titulli0"/>
        <w:keepNext w:val="0"/>
      </w:pPr>
      <w:r w:rsidRPr="00AA3D14">
        <w:t>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Në mbështetje të nenit 100 të Kushtetutës, të neneve 5, pika 1, 20 e 21 të  ligjit nr.8561, datë 22.12.1999 “Për shpronësimet dhe marrjen në përdorim të përkoh</w:t>
      </w:r>
      <w:r>
        <w:rPr>
          <w:szCs w:val="22"/>
        </w:rPr>
        <w:t>shëm të pasurisë, pronë private</w:t>
      </w:r>
      <w:r w:rsidRPr="00AA3D14">
        <w:rPr>
          <w:szCs w:val="22"/>
        </w:rPr>
        <w:t xml:space="preserve"> për interes publik”,  dhe të nenit 8 të ligjit nr.9836, datë 26.11.2007 “Për Buxhetin e Shtetit, të vitit 2008”, të ndryshuar, me propozimin e Ministrit të Punëve Publike, Transportit dhe Telekomunikacionit,  Këshilli i Ministrave                                   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183ED9" w:rsidRPr="00AA3D14" w:rsidRDefault="00183ED9" w:rsidP="00183ED9">
      <w:pPr>
        <w:pStyle w:val="VENDOSI0"/>
        <w:keepNext w:val="0"/>
      </w:pPr>
      <w:r w:rsidRPr="00AA3D14">
        <w:t>VENDOSI: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1.  Shpronësimin, për interes publik, të pronarëve të pasurive të paluajtshme, pronë private, që preken nga ndërtimi i segmentit rrugor Kalimash - Morinë.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2. Shpronësimi të bëhet në favor të Drejtorisë së Përgjithshme të Rrugëve. </w:t>
      </w:r>
    </w:p>
    <w:p w:rsidR="00183ED9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3. Pronarët e pasurive të paluajtshme, që shpronësohen, të kompensohen në vlerë të plotë, sipas masës përkatëse, që paraqitet në tabelën, që i bashkëlidhet këtij vendimi, për sipërfaqen 384 (treqind e tetëdhjetë e katër) m², tokë/truall, me vlerë 1 012 224 (një milion e dymbëdhjetë  mijë e dyqind  e njëzet e katër) lekë, objekte, me vlerë 25 095 402.91 (njëzet e pesë milionë e nëntëdhjetë e pesë mijë e katërqind  e dy pikë nëntëdhjetë e një) lekë, me një vlerë të përgjithshme  shpronësimi 26 107 626.91 (njëzet e gjashtë milionë e njëqind e shtatë mijë e gjashtëqind e njëzet e gjashtë pikë nëntëdhjetë e një) lekë. </w:t>
      </w:r>
    </w:p>
    <w:p w:rsidR="00183ED9" w:rsidRPr="00AA3D14" w:rsidRDefault="00183ED9" w:rsidP="00183ED9">
      <w:pPr>
        <w:pStyle w:val="Paragrafi0"/>
        <w:rPr>
          <w:szCs w:val="22"/>
        </w:rPr>
      </w:pP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4. Shpenzimet procedurale, në vlerën 361 000 (treqind e gjashtëdhjetë e një mijë) lekë, të përballohen nga Drejtoria e Përgjithshme të Rrugëve.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5. Vlera e përgjithshme e shpronësimit, 26 107 626.91 (njëzet e gjashtë milionë e njëqind e shtatë mijë e gjashtëqind e njëzet e gjashtë pikë nëntëdhjetë e një) lekë, të përballohet nga llogaria e veçantë e Ministrisë së Financave, në Bankën e Shqipërisë, “Fondi i shpronësimeve”.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6. Shpronësimi të fillojë më 30.5.2009 dhe të përfundojë më 30.8.2009.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7. Pronarët e përmendur në listën, që i bashkëlidhet këtij vendimi, për të cilët është bërë shënimi “Konfirmim nga ZRPP”, të kompensohen, për efekt shpronësimi, pasi të kenë paraqitur dokumentacionin e plotë të pronësisë, pranë Drejtorisë së Përgjithshme të Rrugëve. Për objektet, pronarët përveç dokumentacionit të pronësisë duhet të paraqesin edhe dokumentacionin tekniko-ligjor.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8. Drejtoria e Përgjithshme e Rrugëve të bëjë likuidimin e pronarëve brenda afa</w:t>
      </w:r>
      <w:r>
        <w:rPr>
          <w:szCs w:val="22"/>
        </w:rPr>
        <w:t>teve</w:t>
      </w:r>
      <w:r w:rsidRPr="00AA3D14">
        <w:rPr>
          <w:szCs w:val="22"/>
        </w:rPr>
        <w:t xml:space="preserve"> të përcaktuara në pikën 6 të këtij vendimi, në bazë të dokumentacionit të pronësisë. Për objektet, Drejtoria e Përgjithshme</w:t>
      </w:r>
      <w:r>
        <w:rPr>
          <w:szCs w:val="22"/>
        </w:rPr>
        <w:t xml:space="preserve"> e</w:t>
      </w:r>
      <w:r w:rsidRPr="00AA3D14">
        <w:rPr>
          <w:szCs w:val="22"/>
        </w:rPr>
        <w:t xml:space="preserve"> Rrugëve të bëjë likuidimin e pronarëve në bazë të dokumentacionit tekniko-ligjor.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9. Ngarkohen Ministria e Punëve Publike, Transportit dhe Telekomunikacionit, Ministria e Financave dhe Drejtoria e Përgjithshme e Rrugëve për zbatimin e këtij vendimi. 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Ky vendim hyn në fuqi menjëherë dhe botohet në Fletoren Zyrtare.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183ED9" w:rsidRPr="00AA3D14" w:rsidRDefault="00183ED9" w:rsidP="00183ED9">
      <w:pPr>
        <w:pStyle w:val="Autoriteti"/>
        <w:keepNext w:val="0"/>
      </w:pPr>
      <w:r w:rsidRPr="00AA3D14">
        <w:t>KRYEMINISTRI </w:t>
      </w:r>
    </w:p>
    <w:p w:rsidR="00183ED9" w:rsidRPr="00AA3D14" w:rsidRDefault="00183ED9" w:rsidP="00183ED9">
      <w:pPr>
        <w:pStyle w:val="AutoritetiEmer"/>
      </w:pPr>
      <w:r w:rsidRPr="00AA3D14">
        <w:t>Sali  Berisha</w:t>
      </w:r>
    </w:p>
    <w:p w:rsidR="00183ED9" w:rsidRPr="00AA3D14" w:rsidRDefault="00183ED9" w:rsidP="00183ED9">
      <w:pPr>
        <w:pStyle w:val="Paragrafi0"/>
        <w:ind w:firstLine="0"/>
        <w:rPr>
          <w:szCs w:val="22"/>
        </w:rPr>
      </w:pPr>
    </w:p>
    <w:p w:rsidR="00183ED9" w:rsidRPr="00AA3D14" w:rsidRDefault="00183ED9" w:rsidP="00183ED9">
      <w:pPr>
        <w:pStyle w:val="Paragrafi0"/>
        <w:rPr>
          <w:szCs w:val="22"/>
        </w:rPr>
      </w:pPr>
    </w:p>
    <w:p w:rsidR="00183ED9" w:rsidRPr="00AA3D14" w:rsidRDefault="00183ED9" w:rsidP="00183ED9">
      <w:pPr>
        <w:pStyle w:val="Paragrafi0"/>
        <w:rPr>
          <w:szCs w:val="22"/>
        </w:rPr>
        <w:sectPr w:rsidR="00183ED9" w:rsidRPr="00AA3D14" w:rsidSect="00183ED9">
          <w:footerReference w:type="even" r:id="rId6"/>
          <w:footerReference w:type="default" r:id="rId7"/>
          <w:pgSz w:w="12240" w:h="15840"/>
          <w:pgMar w:top="1440" w:right="1800" w:bottom="1440" w:left="1800" w:header="720" w:footer="720" w:gutter="0"/>
          <w:pgNumType w:start="4251"/>
          <w:cols w:space="720"/>
          <w:docGrid w:linePitch="360"/>
        </w:sectPr>
      </w:pPr>
    </w:p>
    <w:p w:rsidR="00183ED9" w:rsidRPr="00AA3D14" w:rsidRDefault="00183ED9" w:rsidP="00183ED9">
      <w:pPr>
        <w:pStyle w:val="Paragrafi0"/>
        <w:rPr>
          <w:szCs w:val="22"/>
        </w:rPr>
      </w:pP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REPUBLIKA E SHQIPËRISË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 xml:space="preserve">MINISTRIA </w:t>
      </w:r>
      <w:smartTag w:uri="urn:schemas-microsoft-com:office:smarttags" w:element="place">
        <w:r w:rsidRPr="00AA3D14">
          <w:rPr>
            <w:szCs w:val="22"/>
          </w:rPr>
          <w:t>E PUNËVE</w:t>
        </w:r>
      </w:smartTag>
      <w:r w:rsidRPr="00AA3D14">
        <w:rPr>
          <w:szCs w:val="22"/>
        </w:rPr>
        <w:t xml:space="preserve"> PUBLIKE, TRANSPORTIT DHE TELEKOMUNIKACIONIT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DREJTORIA E PËRGJITJSHME E RRUGËVE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SEKTORI I SHPRONËSIMEVE</w:t>
      </w:r>
    </w:p>
    <w:p w:rsidR="00183ED9" w:rsidRPr="00AA3D14" w:rsidRDefault="00183ED9" w:rsidP="00183ED9">
      <w:pPr>
        <w:pStyle w:val="Paragrafi0"/>
        <w:rPr>
          <w:szCs w:val="22"/>
        </w:rPr>
      </w:pP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LISTA EMËRORE E PRONARËVE QË SHPRONËSOHEN</w:t>
      </w:r>
    </w:p>
    <w:p w:rsidR="00183ED9" w:rsidRPr="00AA3D14" w:rsidRDefault="00183ED9" w:rsidP="00183ED9">
      <w:pPr>
        <w:pStyle w:val="Paragrafi0"/>
        <w:rPr>
          <w:szCs w:val="22"/>
        </w:rPr>
      </w:pPr>
      <w:r w:rsidRPr="00AA3D14">
        <w:rPr>
          <w:szCs w:val="22"/>
        </w:rPr>
        <w:t>NGA NDËRTIMI I SEGMENTIT RRUGOR “KALIMASH-MORINË”</w:t>
      </w:r>
    </w:p>
    <w:p w:rsidR="00183ED9" w:rsidRPr="00AA3D14" w:rsidRDefault="00183ED9" w:rsidP="00183ED9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3"/>
        <w:gridCol w:w="971"/>
        <w:gridCol w:w="878"/>
        <w:gridCol w:w="1011"/>
        <w:gridCol w:w="655"/>
        <w:gridCol w:w="1020"/>
        <w:gridCol w:w="813"/>
        <w:gridCol w:w="829"/>
        <w:gridCol w:w="983"/>
        <w:gridCol w:w="1385"/>
        <w:gridCol w:w="1385"/>
        <w:gridCol w:w="1399"/>
        <w:gridCol w:w="1314"/>
      </w:tblGrid>
      <w:tr w:rsidR="00183ED9" w:rsidRPr="00B31CBC" w:rsidTr="00183ED9">
        <w:tc>
          <w:tcPr>
            <w:tcW w:w="0" w:type="auto"/>
            <w:vMerge w:val="restart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Nr.</w:t>
            </w:r>
          </w:p>
        </w:tc>
        <w:tc>
          <w:tcPr>
            <w:tcW w:w="0" w:type="auto"/>
            <w:gridSpan w:val="3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Pronari</w:t>
            </w:r>
          </w:p>
        </w:tc>
        <w:tc>
          <w:tcPr>
            <w:tcW w:w="0" w:type="auto"/>
            <w:vMerge w:val="restart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ZZK</w:t>
            </w:r>
          </w:p>
        </w:tc>
        <w:tc>
          <w:tcPr>
            <w:tcW w:w="0" w:type="auto"/>
            <w:vMerge w:val="restart"/>
            <w:vAlign w:val="center"/>
          </w:tcPr>
          <w:p w:rsidR="00183ED9" w:rsidRPr="00B31CBC" w:rsidRDefault="00183ED9" w:rsidP="00183ED9">
            <w:pPr>
              <w:pStyle w:val="Tabele"/>
            </w:pPr>
          </w:p>
          <w:p w:rsidR="00183ED9" w:rsidRPr="00B31CBC" w:rsidRDefault="00183ED9" w:rsidP="00183ED9">
            <w:pPr>
              <w:pStyle w:val="Tabele"/>
            </w:pPr>
            <w:r w:rsidRPr="00B31CBC">
              <w:t>Nr.</w:t>
            </w:r>
          </w:p>
          <w:p w:rsidR="00183ED9" w:rsidRPr="00B31CBC" w:rsidRDefault="00183ED9" w:rsidP="00183ED9">
            <w:pPr>
              <w:pStyle w:val="Tabele"/>
            </w:pPr>
            <w:r w:rsidRPr="00B31CBC">
              <w:t>pas</w:t>
            </w:r>
          </w:p>
        </w:tc>
        <w:tc>
          <w:tcPr>
            <w:tcW w:w="0" w:type="auto"/>
            <w:gridSpan w:val="3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Truall</w:t>
            </w:r>
          </w:p>
        </w:tc>
        <w:tc>
          <w:tcPr>
            <w:tcW w:w="0" w:type="auto"/>
            <w:vMerge w:val="restart"/>
            <w:vAlign w:val="center"/>
          </w:tcPr>
          <w:p w:rsidR="00183ED9" w:rsidRPr="00B31CBC" w:rsidRDefault="00183ED9" w:rsidP="00183ED9">
            <w:pPr>
              <w:pStyle w:val="Tabele"/>
            </w:pPr>
          </w:p>
          <w:p w:rsidR="00183ED9" w:rsidRPr="00B31CBC" w:rsidRDefault="00183ED9" w:rsidP="00183ED9">
            <w:pPr>
              <w:pStyle w:val="Tabele"/>
            </w:pPr>
            <w:r w:rsidRPr="00B31CBC">
              <w:t>Objekte</w:t>
            </w:r>
          </w:p>
          <w:p w:rsidR="00183ED9" w:rsidRPr="00B31CBC" w:rsidRDefault="00183ED9" w:rsidP="00183ED9">
            <w:pPr>
              <w:pStyle w:val="Tabele"/>
            </w:pPr>
            <w:r w:rsidRPr="00B31CBC">
              <w:t>Vlera/lekë</w:t>
            </w:r>
          </w:p>
        </w:tc>
        <w:tc>
          <w:tcPr>
            <w:tcW w:w="0" w:type="auto"/>
            <w:vMerge w:val="restart"/>
            <w:vAlign w:val="center"/>
          </w:tcPr>
          <w:p w:rsidR="00183ED9" w:rsidRPr="00B31CBC" w:rsidRDefault="00183ED9" w:rsidP="00183ED9">
            <w:pPr>
              <w:pStyle w:val="Tabele"/>
            </w:pPr>
          </w:p>
          <w:p w:rsidR="00183ED9" w:rsidRPr="00B31CBC" w:rsidRDefault="00183ED9" w:rsidP="00183ED9">
            <w:pPr>
              <w:pStyle w:val="Tabele"/>
            </w:pPr>
            <w:r w:rsidRPr="00B31CBC">
              <w:t>Totali</w:t>
            </w:r>
          </w:p>
          <w:p w:rsidR="00183ED9" w:rsidRPr="00B31CBC" w:rsidRDefault="00183ED9" w:rsidP="00183ED9">
            <w:pPr>
              <w:pStyle w:val="Tabele"/>
            </w:pPr>
            <w:r w:rsidRPr="00B31CBC">
              <w:t>lekë</w:t>
            </w:r>
          </w:p>
        </w:tc>
        <w:tc>
          <w:tcPr>
            <w:tcW w:w="0" w:type="auto"/>
            <w:vMerge w:val="restart"/>
            <w:vAlign w:val="center"/>
          </w:tcPr>
          <w:p w:rsidR="00183ED9" w:rsidRPr="00B31CBC" w:rsidRDefault="00183ED9" w:rsidP="00183ED9">
            <w:pPr>
              <w:pStyle w:val="Tabele"/>
            </w:pPr>
          </w:p>
          <w:p w:rsidR="00183ED9" w:rsidRPr="00B31CBC" w:rsidRDefault="00183ED9" w:rsidP="00183ED9">
            <w:pPr>
              <w:pStyle w:val="Tabele"/>
            </w:pPr>
            <w:r w:rsidRPr="00B31CBC">
              <w:t>Vendndodhja</w:t>
            </w:r>
          </w:p>
        </w:tc>
        <w:tc>
          <w:tcPr>
            <w:tcW w:w="0" w:type="auto"/>
            <w:vMerge w:val="restart"/>
            <w:vAlign w:val="center"/>
          </w:tcPr>
          <w:p w:rsidR="00183ED9" w:rsidRPr="00B31CBC" w:rsidRDefault="00183ED9" w:rsidP="00183ED9">
            <w:pPr>
              <w:pStyle w:val="Tabele"/>
            </w:pPr>
          </w:p>
          <w:p w:rsidR="00183ED9" w:rsidRPr="00B31CBC" w:rsidRDefault="00183ED9" w:rsidP="00183ED9">
            <w:pPr>
              <w:pStyle w:val="Tabele"/>
            </w:pPr>
            <w:r w:rsidRPr="00B31CBC">
              <w:t>Shënime</w:t>
            </w:r>
          </w:p>
        </w:tc>
      </w:tr>
      <w:tr w:rsidR="00183ED9" w:rsidRPr="00B31CBC" w:rsidTr="00183ED9">
        <w:tc>
          <w:tcPr>
            <w:tcW w:w="0" w:type="auto"/>
            <w:vMerge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Emri</w:t>
            </w:r>
          </w:p>
        </w:tc>
        <w:tc>
          <w:tcPr>
            <w:tcW w:w="0" w:type="auto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Atësia</w:t>
            </w:r>
          </w:p>
        </w:tc>
        <w:tc>
          <w:tcPr>
            <w:tcW w:w="0" w:type="auto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Mbiemri</w:t>
            </w:r>
          </w:p>
        </w:tc>
        <w:tc>
          <w:tcPr>
            <w:tcW w:w="0" w:type="auto"/>
            <w:vMerge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  <w:vMerge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Sip.m</w:t>
            </w:r>
            <w:r w:rsidRPr="00B31CBC">
              <w:rPr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Çmimi</w:t>
            </w:r>
          </w:p>
          <w:p w:rsidR="00183ED9" w:rsidRPr="00B31CBC" w:rsidRDefault="00183ED9" w:rsidP="00183ED9">
            <w:pPr>
              <w:pStyle w:val="Tabele"/>
            </w:pPr>
            <w:r w:rsidRPr="00B31CBC">
              <w:t>m</w:t>
            </w:r>
            <w:r w:rsidRPr="00B31CBC">
              <w:rPr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183ED9" w:rsidRPr="00B31CBC" w:rsidRDefault="00183ED9" w:rsidP="00183ED9">
            <w:pPr>
              <w:pStyle w:val="Tabele"/>
            </w:pPr>
            <w:r w:rsidRPr="00B31CBC">
              <w:t>Vlera</w:t>
            </w:r>
          </w:p>
          <w:p w:rsidR="00183ED9" w:rsidRPr="00B31CBC" w:rsidRDefault="00183ED9" w:rsidP="00183ED9">
            <w:pPr>
              <w:pStyle w:val="Tabele"/>
            </w:pPr>
            <w:r w:rsidRPr="00B31CBC">
              <w:t>lekë</w:t>
            </w:r>
          </w:p>
        </w:tc>
        <w:tc>
          <w:tcPr>
            <w:tcW w:w="0" w:type="auto"/>
            <w:vMerge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  <w:vMerge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  <w:vMerge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  <w:vMerge/>
          </w:tcPr>
          <w:p w:rsidR="00183ED9" w:rsidRPr="00B31CBC" w:rsidRDefault="00183ED9" w:rsidP="00183ED9">
            <w:pPr>
              <w:pStyle w:val="Tabele"/>
            </w:pP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Xhem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Maksut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Cenaj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1819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83/3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384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2636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1012224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2948401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3960625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Gostil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Haxhi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Avni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Matmuja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2912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304/2/34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4995454.77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4995454.77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Perbreg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Tafil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Oruçi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1543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191/2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2697028.23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2697028.23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Lagjja Drinas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4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Xhemali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Ajet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Brahaj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1543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193/12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2265619.09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2265619.09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Lagjja Drinas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5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Ajet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Xhem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Brahaj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1543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193/4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2438762.63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2438762.63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Lagjja Drinas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6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Hajdin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Dan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Istrefi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1543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192/2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362554.13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362554.13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Lagjja Drinas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7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Sadik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Shuaip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Dulla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1543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192/8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2180377.31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2180377.31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Lagjja Drinas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8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Han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Shuaip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Dulla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1543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192/3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2180377.31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2180377.31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Lagjja Drinas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9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Fatmir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Shuaip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Dulla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1543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192/9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2198949.56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2198949.56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Lagjja Drinas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10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Musa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Shuaip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Dulla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1543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192/4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2827878.88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2827878.88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Lagjja Drinas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Konfirmuar nga ZRPP</w:t>
            </w:r>
          </w:p>
        </w:tc>
      </w:tr>
      <w:tr w:rsidR="00183ED9" w:rsidRPr="00B31CBC" w:rsidTr="00183ED9"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  <w:gridSpan w:val="3"/>
          </w:tcPr>
          <w:p w:rsidR="00183ED9" w:rsidRPr="00B31CBC" w:rsidRDefault="00183ED9" w:rsidP="00183ED9">
            <w:pPr>
              <w:pStyle w:val="Tabele"/>
            </w:pPr>
            <w:r w:rsidRPr="00B31CBC">
              <w:t>TOTALI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384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1012224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25095402.91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  <w:r w:rsidRPr="00B31CBC">
              <w:t>26107626.91</w:t>
            </w: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  <w:tc>
          <w:tcPr>
            <w:tcW w:w="0" w:type="auto"/>
          </w:tcPr>
          <w:p w:rsidR="00183ED9" w:rsidRPr="00B31CBC" w:rsidRDefault="00183ED9" w:rsidP="00183ED9">
            <w:pPr>
              <w:pStyle w:val="Tabele"/>
            </w:pPr>
          </w:p>
        </w:tc>
      </w:tr>
    </w:tbl>
    <w:p w:rsidR="00183ED9" w:rsidRPr="00AA3D14" w:rsidRDefault="00183ED9" w:rsidP="00183ED9">
      <w:pPr>
        <w:pStyle w:val="Paragrafi0"/>
        <w:rPr>
          <w:szCs w:val="22"/>
        </w:rPr>
      </w:pPr>
    </w:p>
    <w:sectPr w:rsidR="00183ED9" w:rsidRPr="00AA3D14" w:rsidSect="00183ED9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841DC">
      <w:r>
        <w:separator/>
      </w:r>
    </w:p>
  </w:endnote>
  <w:endnote w:type="continuationSeparator" w:id="0">
    <w:p w:rsidR="00000000" w:rsidRDefault="00A8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ED9" w:rsidRDefault="00183ED9" w:rsidP="00183ED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183ED9" w:rsidRDefault="00183ED9" w:rsidP="00183ED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ED9" w:rsidRDefault="00183ED9" w:rsidP="00183ED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4251</w:t>
    </w:r>
    <w:r>
      <w:rPr>
        <w:rStyle w:val="PageNumber"/>
      </w:rPr>
      <w:fldChar w:fldCharType="end"/>
    </w:r>
  </w:p>
  <w:p w:rsidR="00183ED9" w:rsidRDefault="00183ED9" w:rsidP="00183ED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841DC">
      <w:r>
        <w:separator/>
      </w:r>
    </w:p>
  </w:footnote>
  <w:footnote w:type="continuationSeparator" w:id="0">
    <w:p w:rsidR="00000000" w:rsidRDefault="00A841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3ED9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3ED9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41DC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FBF81D-01EA-472B-9687-A14441B3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ED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183E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183E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83ED9"/>
  </w:style>
  <w:style w:type="character" w:customStyle="1" w:styleId="FooterChar">
    <w:name w:val="Footer Char"/>
    <w:basedOn w:val="DefaultParagraphFont"/>
    <w:link w:val="Footer"/>
    <w:rsid w:val="00183ED9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