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436" w:rsidRPr="00DA5575" w:rsidRDefault="00207436" w:rsidP="00207436">
      <w:pPr>
        <w:pStyle w:val="Akti"/>
        <w:keepNext w:val="0"/>
      </w:pPr>
      <w:bookmarkStart w:id="0" w:name="_GoBack"/>
      <w:bookmarkEnd w:id="0"/>
      <w:r>
        <w:t>VENDI</w:t>
      </w:r>
      <w:r w:rsidRPr="00DA5575">
        <w:t>M</w:t>
      </w:r>
    </w:p>
    <w:p w:rsidR="00207436" w:rsidRPr="00DA5575" w:rsidRDefault="00207436" w:rsidP="00207436">
      <w:pPr>
        <w:pStyle w:val="NumriData"/>
        <w:keepNext w:val="0"/>
      </w:pPr>
      <w:r w:rsidRPr="00DA5575">
        <w:t>Nr.649, dat</w:t>
      </w:r>
      <w:r>
        <w:t>ë</w:t>
      </w:r>
      <w:r w:rsidRPr="00DA5575">
        <w:t xml:space="preserve"> 11.6.2009 </w:t>
      </w:r>
    </w:p>
    <w:p w:rsidR="00207436" w:rsidRDefault="00207436" w:rsidP="00207436">
      <w:pPr>
        <w:pStyle w:val="NumriData"/>
        <w:keepNext w:val="0"/>
      </w:pPr>
    </w:p>
    <w:p w:rsidR="00207436" w:rsidRPr="00DA5575" w:rsidRDefault="00207436" w:rsidP="00207436">
      <w:pPr>
        <w:pStyle w:val="Titulli0"/>
        <w:keepNext w:val="0"/>
      </w:pPr>
      <w:r w:rsidRPr="00DA5575">
        <w:t>PËR SHPRONËSIMIN, PËR INTERES PUBLIK, TË PRONARËVE TË PASURIVE TË PALUAJTSHME, PRONË PRIVATE, QË PREKEN NGA SISTEMIMI I QENDRËS SË QYTETIT TË VORËS, SHESHET I, II DHE III, NË BASHKINË E VORËS</w:t>
      </w:r>
    </w:p>
    <w:p w:rsidR="00207436" w:rsidRPr="00DA5575" w:rsidRDefault="00207436" w:rsidP="00207436">
      <w:pPr>
        <w:pStyle w:val="Paragrafi0"/>
      </w:pPr>
      <w:r w:rsidRPr="00DA5575">
        <w:t> </w:t>
      </w:r>
    </w:p>
    <w:p w:rsidR="00207436" w:rsidRPr="00DA5575" w:rsidRDefault="00207436" w:rsidP="00207436">
      <w:pPr>
        <w:pStyle w:val="Paragrafi0"/>
      </w:pPr>
      <w:r w:rsidRPr="00DA5575">
        <w:t>Në mbështetje të nenit 100 të Kushtetutës dh</w:t>
      </w:r>
      <w:r>
        <w:t>e të neneve  5, pika 1, 20 e 21</w:t>
      </w:r>
      <w:r w:rsidRPr="00DA5575">
        <w:t xml:space="preserve"> të </w:t>
      </w:r>
      <w:r>
        <w:t>ligjit nr.8561, datë 22.12.1999</w:t>
      </w:r>
      <w:r w:rsidRPr="00DA5575">
        <w:t xml:space="preserve"> “Për shpronësimet dhe marrjen në përdorim të përkohshëm të pasurisë, pronë private, për interes publik”,   me propozimin e Ministrit të Brendshëm, Këshilli i Ministrave</w:t>
      </w:r>
    </w:p>
    <w:p w:rsidR="00207436" w:rsidRPr="00DA5575" w:rsidRDefault="00207436" w:rsidP="00207436">
      <w:pPr>
        <w:pStyle w:val="Paragrafi0"/>
      </w:pPr>
      <w:r w:rsidRPr="00DA5575">
        <w:t> </w:t>
      </w:r>
    </w:p>
    <w:p w:rsidR="00207436" w:rsidRPr="00DA5575" w:rsidRDefault="00207436" w:rsidP="00207436">
      <w:pPr>
        <w:pStyle w:val="VENDOSI0"/>
        <w:keepNext w:val="0"/>
      </w:pPr>
      <w:r>
        <w:t>VENDOSI</w:t>
      </w:r>
      <w:r w:rsidRPr="00DA5575">
        <w:t>:</w:t>
      </w:r>
    </w:p>
    <w:p w:rsidR="00207436" w:rsidRPr="00DA5575" w:rsidRDefault="00207436" w:rsidP="00207436">
      <w:pPr>
        <w:pStyle w:val="Paragrafi0"/>
      </w:pPr>
      <w:r w:rsidRPr="00DA5575">
        <w:t> </w:t>
      </w:r>
    </w:p>
    <w:p w:rsidR="00207436" w:rsidRPr="00DA5575" w:rsidRDefault="00207436" w:rsidP="00207436">
      <w:pPr>
        <w:pStyle w:val="Paragrafi0"/>
      </w:pPr>
      <w:r w:rsidRPr="00DA5575">
        <w:t>1. Shpronësimin, për interes publik, të pronarëve të pasurisë së paluajtshme, pronë private, që preken nga sistemimi i qytetit të Vorës, sheshet I, II dhe III, në bashkinë e Vorës. </w:t>
      </w:r>
    </w:p>
    <w:p w:rsidR="00207436" w:rsidRPr="00DA5575" w:rsidRDefault="00207436" w:rsidP="00207436">
      <w:pPr>
        <w:pStyle w:val="Paragrafi0"/>
      </w:pPr>
      <w:r w:rsidRPr="00DA5575">
        <w:t>2.  Shpronësimi të bëhet në favor të bashkisë së Vorës. </w:t>
      </w:r>
    </w:p>
    <w:p w:rsidR="00207436" w:rsidRPr="00DA5575" w:rsidRDefault="00207436" w:rsidP="00207436">
      <w:pPr>
        <w:pStyle w:val="Paragrafi0"/>
      </w:pPr>
      <w:r w:rsidRPr="00DA5575">
        <w:t>3.  Pronarët e pasurive të paluajtshme, që shpronësohen, të kompensohen në vlerë të plotë, sipas masës përkatëse, që paraqitet në tabelën, që i bashkëlidhet këtij vendimi, për sipërfaqet  368 (treqind e  gjashtëdhjetë e tetë) m</w:t>
      </w:r>
      <w:r w:rsidRPr="00F74AF6">
        <w:rPr>
          <w:vertAlign w:val="superscript"/>
        </w:rPr>
        <w:t>2</w:t>
      </w:r>
      <w:r>
        <w:t>, truall,  dhe 563</w:t>
      </w:r>
      <w:r w:rsidRPr="00DA5575">
        <w:t xml:space="preserve"> (pesëqind e gjashtë</w:t>
      </w:r>
      <w:r>
        <w:t>dhjetë e tre</w:t>
      </w:r>
      <w:r w:rsidRPr="00DA5575">
        <w:t>) m</w:t>
      </w:r>
      <w:r w:rsidRPr="00F74AF6">
        <w:rPr>
          <w:vertAlign w:val="superscript"/>
        </w:rPr>
        <w:t>2</w:t>
      </w:r>
      <w:r w:rsidRPr="00DA5575">
        <w:t>, objekt, pronë private, me një vlerë të përgjithshme shpronësimi 16 903 516 (gjashtëmbëdhjetë milionë e nëntëqind e tre mijë e pesëqind e gjashtëmbëdhjetë) lekë. </w:t>
      </w:r>
    </w:p>
    <w:p w:rsidR="00207436" w:rsidRPr="00DA5575" w:rsidRDefault="00207436" w:rsidP="00207436">
      <w:pPr>
        <w:pStyle w:val="Paragrafi0"/>
      </w:pPr>
      <w:r w:rsidRPr="00DA5575">
        <w:t>4.  Vlera e përgjithshme e shpronësimit të përballohet nga të ardhurat e bashkisë së Vorës, planifikuar në buxhetin e vitit 2009.  </w:t>
      </w:r>
    </w:p>
    <w:p w:rsidR="00207436" w:rsidRPr="00DA5575" w:rsidRDefault="00207436" w:rsidP="00207436">
      <w:pPr>
        <w:pStyle w:val="Paragrafi0"/>
      </w:pPr>
      <w:r w:rsidRPr="00DA5575">
        <w:t>5.  Vlera  e shpenzimeve procedurale të përballohet nga bashkia e Vorës.</w:t>
      </w:r>
    </w:p>
    <w:p w:rsidR="00207436" w:rsidRPr="00DA5575" w:rsidRDefault="00207436" w:rsidP="00207436">
      <w:pPr>
        <w:pStyle w:val="Paragrafi0"/>
      </w:pPr>
      <w:r w:rsidRPr="00DA5575">
        <w:t>6.  Afati i përfundimit të procedurës së shpronësimit të jetë tre muaj pas hyrjes në fuqi të këtij vendimi. </w:t>
      </w:r>
    </w:p>
    <w:p w:rsidR="00207436" w:rsidRPr="00DA5575" w:rsidRDefault="00207436" w:rsidP="00207436">
      <w:pPr>
        <w:pStyle w:val="Paragrafi0"/>
      </w:pPr>
      <w:r w:rsidRPr="00DA5575">
        <w:t xml:space="preserve">7. Afati i përfundimit të punimeve për këtë objekt të jetë në përputhje me afatet e parashikuara nga bashkia e Vorës, për realizimin e këtij projekti.  </w:t>
      </w:r>
    </w:p>
    <w:p w:rsidR="00207436" w:rsidRPr="00DA5575" w:rsidRDefault="00207436" w:rsidP="00207436">
      <w:pPr>
        <w:pStyle w:val="Paragrafi0"/>
      </w:pPr>
      <w:r w:rsidRPr="00DA5575">
        <w:t>8.  Regjistrimi i ri i pasurive, me sipërfaqe  368 (treqind e gjashtëdh</w:t>
      </w:r>
      <w:r>
        <w:t>jetë e tetë) m</w:t>
      </w:r>
      <w:r w:rsidRPr="006C5A2A">
        <w:rPr>
          <w:vertAlign w:val="superscript"/>
        </w:rPr>
        <w:t>2</w:t>
      </w:r>
      <w:r>
        <w:t>, truall, dhe 563</w:t>
      </w:r>
      <w:r w:rsidRPr="00DA5575">
        <w:t xml:space="preserve"> ( pesëqind e gj</w:t>
      </w:r>
      <w:r>
        <w:t>ashtëdhjetë e tre</w:t>
      </w:r>
      <w:r w:rsidRPr="00DA5575">
        <w:t>) m</w:t>
      </w:r>
      <w:r w:rsidRPr="006C5A2A">
        <w:rPr>
          <w:vertAlign w:val="superscript"/>
        </w:rPr>
        <w:t>2</w:t>
      </w:r>
      <w:r w:rsidRPr="00DA5575">
        <w:t>, objekt, shpronësuar në favor të bashkisë së Vorës, të bëhet brenda 30 ditëve nga data e hyrjes në fuqi të këtij vendimi. </w:t>
      </w:r>
    </w:p>
    <w:p w:rsidR="00207436" w:rsidRPr="00DA5575" w:rsidRDefault="00207436" w:rsidP="00207436">
      <w:pPr>
        <w:pStyle w:val="Paragrafi0"/>
      </w:pPr>
      <w:r w:rsidRPr="00DA5575">
        <w:t>9.  Pronarët e përmendur në listën, që i bashkëlidhet këtij vendimi, për të cilët është bërë shënimi “Proces regjistrimi”, të kompensohen, për efekt shpronësimi, me përfundimin  e procesit të regjistrimit dhe pasi të kenë dorëzuar dokumentacionin e pronësisë, pranë bashkisë së Vorës. Deri në këtë çast, paratë të qëndrojnë të bllokuara në bankë. </w:t>
      </w:r>
    </w:p>
    <w:p w:rsidR="00207436" w:rsidRPr="00DA5575" w:rsidRDefault="00207436" w:rsidP="00207436">
      <w:pPr>
        <w:pStyle w:val="Paragrafi0"/>
      </w:pPr>
      <w:r w:rsidRPr="00DA5575">
        <w:t>10. Ngarkohen Ministria e Brendshme dhe bashkia e Vorës për zbatimin e këtij vendimi. </w:t>
      </w:r>
    </w:p>
    <w:p w:rsidR="00207436" w:rsidRPr="00DA5575" w:rsidRDefault="00207436" w:rsidP="00207436">
      <w:pPr>
        <w:pStyle w:val="Paragrafi0"/>
      </w:pPr>
      <w:r w:rsidRPr="00DA5575">
        <w:t>Ky vendim hyn në</w:t>
      </w:r>
      <w:r>
        <w:t xml:space="preserve"> fuqi menjëherë dhe botohet në Fletoren Zyrtare</w:t>
      </w:r>
      <w:r w:rsidRPr="00DA5575">
        <w:t>.</w:t>
      </w:r>
    </w:p>
    <w:p w:rsidR="00207436" w:rsidRPr="00DA5575" w:rsidRDefault="00207436" w:rsidP="00207436">
      <w:pPr>
        <w:pStyle w:val="Paragrafi0"/>
      </w:pPr>
      <w:r w:rsidRPr="00DA5575">
        <w:t> </w:t>
      </w:r>
    </w:p>
    <w:p w:rsidR="00207436" w:rsidRPr="00DA5575" w:rsidRDefault="00207436" w:rsidP="00207436">
      <w:pPr>
        <w:pStyle w:val="Autoriteti"/>
        <w:keepNext w:val="0"/>
      </w:pPr>
      <w:r>
        <w:t>KRYEMINISTR</w:t>
      </w:r>
      <w:r w:rsidRPr="00DA5575">
        <w:t>I</w:t>
      </w:r>
    </w:p>
    <w:p w:rsidR="00207436" w:rsidRDefault="00207436" w:rsidP="00207436">
      <w:pPr>
        <w:pStyle w:val="AutoritetiEmer"/>
      </w:pPr>
      <w:r w:rsidRPr="00DA5575">
        <w:t>Sali Berisha</w:t>
      </w:r>
    </w:p>
    <w:p w:rsidR="00207436" w:rsidRDefault="00207436" w:rsidP="00207436">
      <w:pPr>
        <w:pStyle w:val="Paragrafi0"/>
      </w:pPr>
    </w:p>
    <w:p w:rsidR="00207436" w:rsidRDefault="00207436" w:rsidP="00207436">
      <w:pPr>
        <w:pStyle w:val="Paragrafi0"/>
        <w:jc w:val="center"/>
      </w:pPr>
    </w:p>
    <w:p w:rsidR="00207436" w:rsidRDefault="00207436" w:rsidP="00207436">
      <w:pPr>
        <w:pStyle w:val="Paragrafi0"/>
        <w:jc w:val="center"/>
      </w:pPr>
    </w:p>
    <w:p w:rsidR="00207436" w:rsidRDefault="00207436" w:rsidP="00207436">
      <w:pPr>
        <w:pStyle w:val="Paragrafi0"/>
        <w:jc w:val="center"/>
      </w:pPr>
    </w:p>
    <w:p w:rsidR="00207436" w:rsidRDefault="00207436" w:rsidP="00207436">
      <w:pPr>
        <w:pStyle w:val="Paragrafi0"/>
        <w:jc w:val="center"/>
      </w:pPr>
    </w:p>
    <w:p w:rsidR="00207436" w:rsidRDefault="00207436" w:rsidP="00207436">
      <w:pPr>
        <w:pStyle w:val="Paragrafi0"/>
        <w:jc w:val="center"/>
        <w:sectPr w:rsidR="00207436" w:rsidSect="00207436">
          <w:footerReference w:type="even" r:id="rId6"/>
          <w:footerReference w:type="default" r:id="rId7"/>
          <w:pgSz w:w="12240" w:h="15840"/>
          <w:pgMar w:top="1440" w:right="1800" w:bottom="1440" w:left="1800" w:header="720" w:footer="720" w:gutter="0"/>
          <w:pgNumType w:start="5367"/>
          <w:cols w:space="720"/>
          <w:docGrid w:linePitch="360"/>
        </w:sectPr>
      </w:pPr>
    </w:p>
    <w:tbl>
      <w:tblPr>
        <w:tblStyle w:val="TableGrid"/>
        <w:tblpPr w:leftFromText="180" w:rightFromText="180" w:horzAnchor="margin" w:tblpX="288" w:tblpY="735"/>
        <w:tblW w:w="0" w:type="auto"/>
        <w:tblLook w:val="01E0" w:firstRow="1" w:lastRow="1" w:firstColumn="1" w:lastColumn="1" w:noHBand="0" w:noVBand="0"/>
      </w:tblPr>
      <w:tblGrid>
        <w:gridCol w:w="545"/>
        <w:gridCol w:w="1661"/>
        <w:gridCol w:w="1257"/>
        <w:gridCol w:w="921"/>
        <w:gridCol w:w="1243"/>
        <w:gridCol w:w="1067"/>
        <w:gridCol w:w="1079"/>
        <w:gridCol w:w="1249"/>
        <w:gridCol w:w="1299"/>
        <w:gridCol w:w="1093"/>
        <w:gridCol w:w="1762"/>
      </w:tblGrid>
      <w:tr w:rsidR="00207436" w:rsidRPr="00F1530B" w:rsidTr="00207436">
        <w:tc>
          <w:tcPr>
            <w:tcW w:w="245" w:type="dxa"/>
            <w:vAlign w:val="center"/>
          </w:tcPr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Nr.</w:t>
            </w:r>
          </w:p>
        </w:tc>
        <w:tc>
          <w:tcPr>
            <w:tcW w:w="1688" w:type="dxa"/>
            <w:vAlign w:val="center"/>
          </w:tcPr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Emrat e pronarëve</w:t>
            </w:r>
          </w:p>
        </w:tc>
        <w:tc>
          <w:tcPr>
            <w:tcW w:w="1281" w:type="dxa"/>
            <w:vAlign w:val="center"/>
          </w:tcPr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Sip. truall i lirë + truall nën objekt m</w:t>
            </w:r>
            <w:r w:rsidRPr="00207436">
              <w:rPr>
                <w:b/>
                <w:vertAlign w:val="superscript"/>
              </w:rPr>
              <w:t>2</w:t>
            </w:r>
          </w:p>
        </w:tc>
        <w:tc>
          <w:tcPr>
            <w:tcW w:w="921" w:type="dxa"/>
            <w:vAlign w:val="center"/>
          </w:tcPr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Çmimi</w:t>
            </w:r>
          </w:p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lekë/m</w:t>
            </w:r>
            <w:r w:rsidRPr="00207436">
              <w:rPr>
                <w:b/>
                <w:vertAlign w:val="superscript"/>
              </w:rPr>
              <w:t>2</w:t>
            </w:r>
          </w:p>
        </w:tc>
        <w:tc>
          <w:tcPr>
            <w:tcW w:w="1257" w:type="dxa"/>
            <w:vAlign w:val="center"/>
          </w:tcPr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Vlera e truallit lekë</w:t>
            </w:r>
          </w:p>
        </w:tc>
        <w:tc>
          <w:tcPr>
            <w:tcW w:w="1077" w:type="dxa"/>
            <w:vAlign w:val="center"/>
          </w:tcPr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Sip. objekti</w:t>
            </w:r>
          </w:p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m</w:t>
            </w:r>
            <w:r w:rsidRPr="00207436">
              <w:rPr>
                <w:b/>
                <w:vertAlign w:val="superscript"/>
              </w:rPr>
              <w:t>2</w:t>
            </w:r>
          </w:p>
        </w:tc>
        <w:tc>
          <w:tcPr>
            <w:tcW w:w="1080" w:type="dxa"/>
            <w:vAlign w:val="center"/>
          </w:tcPr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Çmimi</w:t>
            </w:r>
          </w:p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lekë/m</w:t>
            </w:r>
            <w:r w:rsidRPr="00207436">
              <w:rPr>
                <w:b/>
                <w:vertAlign w:val="superscript"/>
              </w:rPr>
              <w:t>2</w:t>
            </w:r>
          </w:p>
        </w:tc>
        <w:tc>
          <w:tcPr>
            <w:tcW w:w="1258" w:type="dxa"/>
            <w:vAlign w:val="center"/>
          </w:tcPr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Vlera e objektit lekë</w:t>
            </w:r>
          </w:p>
        </w:tc>
        <w:tc>
          <w:tcPr>
            <w:tcW w:w="1260" w:type="dxa"/>
            <w:vAlign w:val="center"/>
          </w:tcPr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Amortizimi</w:t>
            </w:r>
          </w:p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në vite  i</w:t>
            </w:r>
          </w:p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objektit lekë</w:t>
            </w:r>
          </w:p>
        </w:tc>
        <w:tc>
          <w:tcPr>
            <w:tcW w:w="1093" w:type="dxa"/>
            <w:vAlign w:val="center"/>
          </w:tcPr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Vlera</w:t>
            </w:r>
          </w:p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totale lekë</w:t>
            </w:r>
          </w:p>
        </w:tc>
        <w:tc>
          <w:tcPr>
            <w:tcW w:w="1728" w:type="dxa"/>
            <w:vAlign w:val="center"/>
          </w:tcPr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Dokumentacioni</w:t>
            </w:r>
          </w:p>
          <w:p w:rsidR="00207436" w:rsidRPr="00207436" w:rsidRDefault="00207436" w:rsidP="00207436">
            <w:pPr>
              <w:pStyle w:val="Tabele"/>
              <w:jc w:val="center"/>
              <w:rPr>
                <w:b/>
              </w:rPr>
            </w:pPr>
            <w:r w:rsidRPr="00207436">
              <w:rPr>
                <w:b/>
              </w:rPr>
              <w:t>i pronësisë</w:t>
            </w:r>
          </w:p>
        </w:tc>
      </w:tr>
      <w:tr w:rsidR="00207436" w:rsidRPr="00F1530B" w:rsidTr="00207436">
        <w:tc>
          <w:tcPr>
            <w:tcW w:w="245" w:type="dxa"/>
          </w:tcPr>
          <w:p w:rsidR="00207436" w:rsidRPr="00F1530B" w:rsidRDefault="00207436" w:rsidP="00207436">
            <w:pPr>
              <w:pStyle w:val="Tabele"/>
            </w:pPr>
            <w:r>
              <w:t>1</w:t>
            </w:r>
          </w:p>
        </w:tc>
        <w:tc>
          <w:tcPr>
            <w:tcW w:w="1688" w:type="dxa"/>
          </w:tcPr>
          <w:p w:rsidR="00207436" w:rsidRPr="00F1530B" w:rsidRDefault="00207436" w:rsidP="00207436">
            <w:pPr>
              <w:pStyle w:val="Tabele"/>
            </w:pPr>
            <w:r>
              <w:t>Kujtim Dervishi</w:t>
            </w:r>
          </w:p>
        </w:tc>
        <w:tc>
          <w:tcPr>
            <w:tcW w:w="1281" w:type="dxa"/>
          </w:tcPr>
          <w:p w:rsidR="00207436" w:rsidRPr="00F1530B" w:rsidRDefault="00207436" w:rsidP="00207436">
            <w:pPr>
              <w:pStyle w:val="Tabele"/>
            </w:pPr>
            <w:r>
              <w:t>368</w:t>
            </w:r>
          </w:p>
        </w:tc>
        <w:tc>
          <w:tcPr>
            <w:tcW w:w="921" w:type="dxa"/>
          </w:tcPr>
          <w:p w:rsidR="00207436" w:rsidRPr="00F1530B" w:rsidRDefault="00207436" w:rsidP="00207436">
            <w:pPr>
              <w:pStyle w:val="Tabele"/>
            </w:pPr>
            <w:r>
              <w:t>3773</w:t>
            </w:r>
          </w:p>
        </w:tc>
        <w:tc>
          <w:tcPr>
            <w:tcW w:w="1257" w:type="dxa"/>
          </w:tcPr>
          <w:p w:rsidR="00207436" w:rsidRPr="00F1530B" w:rsidRDefault="00207436" w:rsidP="00207436">
            <w:pPr>
              <w:pStyle w:val="Tabele"/>
            </w:pPr>
            <w:r>
              <w:t>1388464</w:t>
            </w:r>
          </w:p>
        </w:tc>
        <w:tc>
          <w:tcPr>
            <w:tcW w:w="1077" w:type="dxa"/>
          </w:tcPr>
          <w:p w:rsidR="00207436" w:rsidRPr="00F1530B" w:rsidRDefault="00207436" w:rsidP="00207436">
            <w:pPr>
              <w:pStyle w:val="Tabele"/>
            </w:pPr>
            <w:r>
              <w:t>368</w:t>
            </w:r>
          </w:p>
        </w:tc>
        <w:tc>
          <w:tcPr>
            <w:tcW w:w="1080" w:type="dxa"/>
          </w:tcPr>
          <w:p w:rsidR="00207436" w:rsidRPr="00F1530B" w:rsidRDefault="00207436" w:rsidP="00207436">
            <w:pPr>
              <w:pStyle w:val="Tabele"/>
            </w:pPr>
            <w:r>
              <w:t>34133.5</w:t>
            </w:r>
          </w:p>
        </w:tc>
        <w:tc>
          <w:tcPr>
            <w:tcW w:w="1258" w:type="dxa"/>
          </w:tcPr>
          <w:p w:rsidR="00207436" w:rsidRPr="00F1530B" w:rsidRDefault="00207436" w:rsidP="00207436">
            <w:pPr>
              <w:pStyle w:val="Tabele"/>
            </w:pPr>
            <w:r>
              <w:t>12561130</w:t>
            </w:r>
          </w:p>
        </w:tc>
        <w:tc>
          <w:tcPr>
            <w:tcW w:w="1260" w:type="dxa"/>
          </w:tcPr>
          <w:p w:rsidR="00207436" w:rsidRPr="00F1530B" w:rsidRDefault="00207436" w:rsidP="00207436">
            <w:pPr>
              <w:pStyle w:val="Tabele"/>
            </w:pPr>
            <w:r>
              <w:t>2122831</w:t>
            </w:r>
          </w:p>
        </w:tc>
        <w:tc>
          <w:tcPr>
            <w:tcW w:w="1093" w:type="dxa"/>
          </w:tcPr>
          <w:p w:rsidR="00207436" w:rsidRPr="00F1530B" w:rsidRDefault="00207436" w:rsidP="00207436">
            <w:pPr>
              <w:pStyle w:val="Tabele"/>
            </w:pPr>
            <w:r>
              <w:t>11826763</w:t>
            </w:r>
          </w:p>
        </w:tc>
        <w:tc>
          <w:tcPr>
            <w:tcW w:w="1728" w:type="dxa"/>
          </w:tcPr>
          <w:p w:rsidR="00207436" w:rsidRPr="00F1530B" w:rsidRDefault="00207436" w:rsidP="00207436">
            <w:pPr>
              <w:pStyle w:val="Tabele"/>
            </w:pPr>
            <w:r>
              <w:t>Vërtetim pronësie</w:t>
            </w:r>
          </w:p>
        </w:tc>
      </w:tr>
      <w:tr w:rsidR="00207436" w:rsidRPr="00F1530B" w:rsidTr="00207436">
        <w:tc>
          <w:tcPr>
            <w:tcW w:w="245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688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281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921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257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077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080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258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260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093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728" w:type="dxa"/>
          </w:tcPr>
          <w:p w:rsidR="00207436" w:rsidRPr="00F1530B" w:rsidRDefault="00207436" w:rsidP="00207436">
            <w:pPr>
              <w:pStyle w:val="Tabele"/>
            </w:pPr>
          </w:p>
        </w:tc>
      </w:tr>
      <w:tr w:rsidR="00207436" w:rsidRPr="00F1530B" w:rsidTr="00207436">
        <w:tc>
          <w:tcPr>
            <w:tcW w:w="245" w:type="dxa"/>
          </w:tcPr>
          <w:p w:rsidR="00207436" w:rsidRPr="00F1530B" w:rsidRDefault="00207436" w:rsidP="00207436">
            <w:pPr>
              <w:pStyle w:val="Tabele"/>
            </w:pPr>
            <w:r>
              <w:t>2</w:t>
            </w:r>
          </w:p>
        </w:tc>
        <w:tc>
          <w:tcPr>
            <w:tcW w:w="1688" w:type="dxa"/>
          </w:tcPr>
          <w:p w:rsidR="00207436" w:rsidRPr="00F1530B" w:rsidRDefault="00207436" w:rsidP="00207436">
            <w:pPr>
              <w:pStyle w:val="Tabele"/>
            </w:pPr>
            <w:r>
              <w:t>Mustafa Çaushi</w:t>
            </w:r>
          </w:p>
        </w:tc>
        <w:tc>
          <w:tcPr>
            <w:tcW w:w="1281" w:type="dxa"/>
          </w:tcPr>
          <w:p w:rsidR="00207436" w:rsidRPr="00F1530B" w:rsidRDefault="00207436" w:rsidP="00207436">
            <w:pPr>
              <w:pStyle w:val="Tabele"/>
            </w:pPr>
            <w:r>
              <w:t>-</w:t>
            </w:r>
          </w:p>
        </w:tc>
        <w:tc>
          <w:tcPr>
            <w:tcW w:w="921" w:type="dxa"/>
          </w:tcPr>
          <w:p w:rsidR="00207436" w:rsidRPr="00F1530B" w:rsidRDefault="00207436" w:rsidP="00207436">
            <w:pPr>
              <w:pStyle w:val="Tabele"/>
            </w:pPr>
            <w:r>
              <w:t>-</w:t>
            </w:r>
          </w:p>
        </w:tc>
        <w:tc>
          <w:tcPr>
            <w:tcW w:w="1257" w:type="dxa"/>
          </w:tcPr>
          <w:p w:rsidR="00207436" w:rsidRPr="00F1530B" w:rsidRDefault="00207436" w:rsidP="00207436">
            <w:pPr>
              <w:pStyle w:val="Tabele"/>
            </w:pPr>
            <w:r>
              <w:t>-</w:t>
            </w:r>
          </w:p>
        </w:tc>
        <w:tc>
          <w:tcPr>
            <w:tcW w:w="1077" w:type="dxa"/>
          </w:tcPr>
          <w:p w:rsidR="00207436" w:rsidRPr="00F1530B" w:rsidRDefault="00207436" w:rsidP="00207436">
            <w:pPr>
              <w:pStyle w:val="Tabele"/>
            </w:pPr>
            <w:r>
              <w:t>195</w:t>
            </w:r>
          </w:p>
        </w:tc>
        <w:tc>
          <w:tcPr>
            <w:tcW w:w="1080" w:type="dxa"/>
          </w:tcPr>
          <w:p w:rsidR="00207436" w:rsidRPr="00F1530B" w:rsidRDefault="00207436" w:rsidP="00207436">
            <w:pPr>
              <w:pStyle w:val="Tabele"/>
            </w:pPr>
            <w:r>
              <w:t>30414.28</w:t>
            </w:r>
          </w:p>
        </w:tc>
        <w:tc>
          <w:tcPr>
            <w:tcW w:w="1258" w:type="dxa"/>
          </w:tcPr>
          <w:p w:rsidR="00207436" w:rsidRPr="00F1530B" w:rsidRDefault="00207436" w:rsidP="00207436">
            <w:pPr>
              <w:pStyle w:val="Tabele"/>
            </w:pPr>
            <w:r>
              <w:t>5930786</w:t>
            </w:r>
          </w:p>
        </w:tc>
        <w:tc>
          <w:tcPr>
            <w:tcW w:w="1260" w:type="dxa"/>
          </w:tcPr>
          <w:p w:rsidR="00207436" w:rsidRPr="00F1530B" w:rsidRDefault="00207436" w:rsidP="00207436">
            <w:pPr>
              <w:pStyle w:val="Tabele"/>
            </w:pPr>
            <w:r>
              <w:t>854033</w:t>
            </w:r>
          </w:p>
        </w:tc>
        <w:tc>
          <w:tcPr>
            <w:tcW w:w="1093" w:type="dxa"/>
          </w:tcPr>
          <w:p w:rsidR="00207436" w:rsidRPr="00F1530B" w:rsidRDefault="00207436" w:rsidP="00207436">
            <w:pPr>
              <w:pStyle w:val="Tabele"/>
            </w:pPr>
            <w:r>
              <w:t>5076753</w:t>
            </w:r>
          </w:p>
        </w:tc>
        <w:tc>
          <w:tcPr>
            <w:tcW w:w="1728" w:type="dxa"/>
          </w:tcPr>
          <w:p w:rsidR="00207436" w:rsidRPr="00F1530B" w:rsidRDefault="00207436" w:rsidP="00207436">
            <w:pPr>
              <w:pStyle w:val="Tabele"/>
            </w:pPr>
            <w:r>
              <w:t>Proces regjistrimi</w:t>
            </w:r>
          </w:p>
        </w:tc>
      </w:tr>
      <w:tr w:rsidR="00207436" w:rsidRPr="00F1530B" w:rsidTr="00207436">
        <w:tc>
          <w:tcPr>
            <w:tcW w:w="245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688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281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921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257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077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080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258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260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093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728" w:type="dxa"/>
          </w:tcPr>
          <w:p w:rsidR="00207436" w:rsidRPr="00F1530B" w:rsidRDefault="00207436" w:rsidP="00207436">
            <w:pPr>
              <w:pStyle w:val="Tabele"/>
            </w:pPr>
          </w:p>
        </w:tc>
      </w:tr>
      <w:tr w:rsidR="00207436" w:rsidRPr="00F1530B" w:rsidTr="00207436">
        <w:tc>
          <w:tcPr>
            <w:tcW w:w="245" w:type="dxa"/>
          </w:tcPr>
          <w:p w:rsidR="00207436" w:rsidRPr="00F1530B" w:rsidRDefault="00207436" w:rsidP="00207436">
            <w:pPr>
              <w:pStyle w:val="Tabele"/>
            </w:pPr>
          </w:p>
        </w:tc>
        <w:tc>
          <w:tcPr>
            <w:tcW w:w="1688" w:type="dxa"/>
            <w:vAlign w:val="center"/>
          </w:tcPr>
          <w:p w:rsidR="00207436" w:rsidRPr="005942D6" w:rsidRDefault="00207436" w:rsidP="00207436">
            <w:pPr>
              <w:pStyle w:val="Tabele"/>
            </w:pPr>
            <w:r w:rsidRPr="005942D6">
              <w:t>Shuma totale</w:t>
            </w:r>
          </w:p>
        </w:tc>
        <w:tc>
          <w:tcPr>
            <w:tcW w:w="1281" w:type="dxa"/>
            <w:vAlign w:val="center"/>
          </w:tcPr>
          <w:p w:rsidR="00207436" w:rsidRPr="005942D6" w:rsidRDefault="00207436" w:rsidP="00207436">
            <w:pPr>
              <w:pStyle w:val="Tabele"/>
            </w:pPr>
            <w:r w:rsidRPr="005942D6">
              <w:t>368</w:t>
            </w:r>
          </w:p>
        </w:tc>
        <w:tc>
          <w:tcPr>
            <w:tcW w:w="921" w:type="dxa"/>
            <w:vAlign w:val="center"/>
          </w:tcPr>
          <w:p w:rsidR="00207436" w:rsidRPr="005942D6" w:rsidRDefault="00207436" w:rsidP="00207436">
            <w:pPr>
              <w:pStyle w:val="Tabele"/>
            </w:pPr>
          </w:p>
        </w:tc>
        <w:tc>
          <w:tcPr>
            <w:tcW w:w="1257" w:type="dxa"/>
            <w:vAlign w:val="center"/>
          </w:tcPr>
          <w:p w:rsidR="00207436" w:rsidRPr="005942D6" w:rsidRDefault="00207436" w:rsidP="00207436">
            <w:pPr>
              <w:pStyle w:val="Tabele"/>
            </w:pPr>
          </w:p>
        </w:tc>
        <w:tc>
          <w:tcPr>
            <w:tcW w:w="1077" w:type="dxa"/>
            <w:vAlign w:val="center"/>
          </w:tcPr>
          <w:p w:rsidR="00207436" w:rsidRPr="005942D6" w:rsidRDefault="00207436" w:rsidP="00207436">
            <w:pPr>
              <w:pStyle w:val="Tabele"/>
            </w:pPr>
            <w:r w:rsidRPr="005942D6">
              <w:t>563</w:t>
            </w:r>
          </w:p>
        </w:tc>
        <w:tc>
          <w:tcPr>
            <w:tcW w:w="1080" w:type="dxa"/>
            <w:vAlign w:val="center"/>
          </w:tcPr>
          <w:p w:rsidR="00207436" w:rsidRPr="005942D6" w:rsidRDefault="00207436" w:rsidP="00207436">
            <w:pPr>
              <w:pStyle w:val="Tabele"/>
            </w:pPr>
          </w:p>
        </w:tc>
        <w:tc>
          <w:tcPr>
            <w:tcW w:w="1258" w:type="dxa"/>
            <w:vAlign w:val="center"/>
          </w:tcPr>
          <w:p w:rsidR="00207436" w:rsidRPr="005942D6" w:rsidRDefault="00207436" w:rsidP="00207436">
            <w:pPr>
              <w:pStyle w:val="Tabele"/>
            </w:pPr>
          </w:p>
        </w:tc>
        <w:tc>
          <w:tcPr>
            <w:tcW w:w="1260" w:type="dxa"/>
            <w:vAlign w:val="center"/>
          </w:tcPr>
          <w:p w:rsidR="00207436" w:rsidRPr="005942D6" w:rsidRDefault="00207436" w:rsidP="00207436">
            <w:pPr>
              <w:pStyle w:val="Tabele"/>
            </w:pPr>
          </w:p>
        </w:tc>
        <w:tc>
          <w:tcPr>
            <w:tcW w:w="1093" w:type="dxa"/>
            <w:vAlign w:val="center"/>
          </w:tcPr>
          <w:p w:rsidR="00207436" w:rsidRPr="005942D6" w:rsidRDefault="00207436" w:rsidP="00207436">
            <w:pPr>
              <w:pStyle w:val="Tabele"/>
            </w:pPr>
            <w:r w:rsidRPr="005942D6">
              <w:t>16903516</w:t>
            </w:r>
          </w:p>
        </w:tc>
        <w:tc>
          <w:tcPr>
            <w:tcW w:w="1728" w:type="dxa"/>
          </w:tcPr>
          <w:p w:rsidR="00207436" w:rsidRPr="00F1530B" w:rsidRDefault="00207436" w:rsidP="00207436">
            <w:pPr>
              <w:pStyle w:val="Tabele"/>
            </w:pPr>
          </w:p>
        </w:tc>
      </w:tr>
    </w:tbl>
    <w:p w:rsidR="00207436" w:rsidRPr="00C529B9" w:rsidRDefault="00207436" w:rsidP="00207436">
      <w:pPr>
        <w:pStyle w:val="Paragrafi0"/>
        <w:jc w:val="center"/>
      </w:pPr>
      <w:r w:rsidRPr="00C529B9">
        <w:t>TË DHËNAT MBI LISTËN EMËRORE TË PRONARËVE DHE PRONAVE QË DO TË SHPRONËSOHEN PËR “SISTEMIMIN E QENDRËS SË QYTETIT TË VORËS, SHESHIT I, II DHE III”, NË BASHKINË E VORËS</w:t>
      </w:r>
    </w:p>
    <w:p w:rsidR="00207436" w:rsidRDefault="00207436" w:rsidP="00207436">
      <w:pPr>
        <w:pStyle w:val="Paragrafi0"/>
        <w:jc w:val="center"/>
      </w:pPr>
    </w:p>
    <w:p w:rsidR="00207436" w:rsidRDefault="00207436" w:rsidP="00207436">
      <w:pPr>
        <w:pStyle w:val="Paragrafi0"/>
        <w:jc w:val="center"/>
      </w:pPr>
    </w:p>
    <w:p w:rsidR="00207436" w:rsidRDefault="00207436" w:rsidP="00207436">
      <w:pPr>
        <w:pStyle w:val="Paragrafi0"/>
        <w:jc w:val="center"/>
      </w:pPr>
    </w:p>
    <w:p w:rsidR="00207436" w:rsidRDefault="00207436" w:rsidP="00207436">
      <w:pPr>
        <w:pStyle w:val="Paragrafi0"/>
        <w:jc w:val="center"/>
      </w:pPr>
    </w:p>
    <w:p w:rsidR="00207436" w:rsidRDefault="00207436" w:rsidP="00207436">
      <w:pPr>
        <w:pStyle w:val="Paragrafi0"/>
        <w:jc w:val="center"/>
      </w:pPr>
    </w:p>
    <w:p w:rsidR="00207436" w:rsidRDefault="00207436" w:rsidP="00207436">
      <w:pPr>
        <w:pStyle w:val="Paragrafi0"/>
        <w:jc w:val="center"/>
      </w:pPr>
    </w:p>
    <w:p w:rsidR="00207436" w:rsidRDefault="00207436" w:rsidP="00207436">
      <w:pPr>
        <w:pStyle w:val="Paragrafi0"/>
        <w:jc w:val="center"/>
      </w:pPr>
    </w:p>
    <w:p w:rsidR="00207436" w:rsidRDefault="00207436" w:rsidP="00207436">
      <w:pPr>
        <w:pStyle w:val="Paragrafi0"/>
        <w:jc w:val="center"/>
      </w:pPr>
    </w:p>
    <w:p w:rsidR="00207436" w:rsidRDefault="00207436" w:rsidP="00207436">
      <w:pPr>
        <w:pStyle w:val="Paragrafi0"/>
        <w:jc w:val="center"/>
      </w:pPr>
    </w:p>
    <w:p w:rsidR="00207436" w:rsidRDefault="00207436" w:rsidP="00207436">
      <w:pPr>
        <w:pStyle w:val="Paragrafi0"/>
        <w:jc w:val="center"/>
      </w:pPr>
    </w:p>
    <w:p w:rsidR="00207436" w:rsidRDefault="00207436" w:rsidP="00207436">
      <w:pPr>
        <w:pStyle w:val="Paragrafi0"/>
        <w:jc w:val="center"/>
        <w:sectPr w:rsidR="00207436" w:rsidSect="00207436">
          <w:pgSz w:w="15840" w:h="12240" w:orient="landscape"/>
          <w:pgMar w:top="1800" w:right="1440" w:bottom="1800" w:left="1440" w:header="720" w:footer="720" w:gutter="0"/>
          <w:pgNumType w:start="5370"/>
          <w:cols w:space="720"/>
          <w:docGrid w:linePitch="360"/>
        </w:sectPr>
      </w:pPr>
    </w:p>
    <w:p w:rsidR="00016606" w:rsidRDefault="00016606" w:rsidP="00207436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C6C9D">
      <w:r>
        <w:separator/>
      </w:r>
    </w:p>
  </w:endnote>
  <w:endnote w:type="continuationSeparator" w:id="0">
    <w:p w:rsidR="00000000" w:rsidRDefault="00BC6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436" w:rsidRDefault="00207436" w:rsidP="0020743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207436" w:rsidRDefault="00207436" w:rsidP="0020743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436" w:rsidRDefault="00207436" w:rsidP="0020743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5367</w:t>
    </w:r>
    <w:r>
      <w:rPr>
        <w:rStyle w:val="PageNumber"/>
      </w:rPr>
      <w:fldChar w:fldCharType="end"/>
    </w:r>
  </w:p>
  <w:p w:rsidR="00207436" w:rsidRDefault="00207436" w:rsidP="0020743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C6C9D">
      <w:r>
        <w:separator/>
      </w:r>
    </w:p>
  </w:footnote>
  <w:footnote w:type="continuationSeparator" w:id="0">
    <w:p w:rsidR="00000000" w:rsidRDefault="00BC6C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7436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07436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9D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E7A72E-D79C-4812-B4F7-50DC59E74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436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2074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20743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7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