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B4A" w:rsidRPr="006F6DC1" w:rsidRDefault="00DC0B4A" w:rsidP="00DC0B4A">
      <w:pPr>
        <w:pStyle w:val="Akti"/>
        <w:keepNext w:val="0"/>
      </w:pPr>
      <w:bookmarkStart w:id="0" w:name="_GoBack"/>
      <w:bookmarkEnd w:id="0"/>
      <w:r w:rsidRPr="006F6DC1">
        <w:t>VENDIM </w:t>
      </w:r>
    </w:p>
    <w:p w:rsidR="00DC0B4A" w:rsidRPr="006F6DC1" w:rsidRDefault="00DC0B4A" w:rsidP="00DC0B4A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Nr.753, datë 8.7.2009</w:t>
      </w:r>
    </w:p>
    <w:p w:rsidR="00DC0B4A" w:rsidRPr="006F6DC1" w:rsidRDefault="00DC0B4A" w:rsidP="00DC0B4A">
      <w:pPr>
        <w:pStyle w:val="Paragrafi0"/>
        <w:rPr>
          <w:sz w:val="12"/>
          <w:szCs w:val="22"/>
        </w:rPr>
      </w:pPr>
    </w:p>
    <w:p w:rsidR="00DC0B4A" w:rsidRPr="006F6DC1" w:rsidRDefault="00DC0B4A" w:rsidP="00DC0B4A">
      <w:pPr>
        <w:pStyle w:val="Titulli0"/>
        <w:keepNext w:val="0"/>
      </w:pPr>
      <w:r w:rsidRPr="006F6DC1">
        <w:t>PËR KALIMIN NË PRONËSI, NGA “ALBPETROL”, SHA-JA, BASHKISË PATOS, TË NDËRTESËS SË ISH-INSTITUTIT TEKNOLOGJIK TË NAFTËS DHE GAZIT (ITNG) DHE PËR NJË SHTESË NË VENDIMIN NR.813, DATË 29.11.2007 TË KËSHILLIT TË MINISTRAVE “PËR MIRATIMIN E LISTËS SË INVENTARIT TË PRONAVE TË PALUAJTSHME SHTETËRORE NË BASHKINË PATOS, TË QARKUT TË FIERIT”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  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Kushtetutës, të neneve 13 e 15, shkronja “c” të ligjit nr.8743, datë 22.2.2001 “Për pronat e paluajtshme të shtetit”, të ndryshuar, dhe të neneve 3 e 5 të ligjit nr.8744, datë 22.2.2001 “Për transferimin e pronave të paluajtshme publike të shtetit në njësitë e qeverisjes vendore”, me propozimin e Ministrit të Ekonomisë, Tregtisë dhe Energjetikës, Këshilli i Ministrave</w:t>
      </w:r>
    </w:p>
    <w:p w:rsidR="00DC0B4A" w:rsidRPr="006F6DC1" w:rsidRDefault="00DC0B4A" w:rsidP="00DC0B4A">
      <w:pPr>
        <w:pStyle w:val="Paragrafi0"/>
        <w:rPr>
          <w:sz w:val="14"/>
          <w:szCs w:val="22"/>
        </w:rPr>
      </w:pPr>
      <w:r w:rsidRPr="006F6DC1">
        <w:rPr>
          <w:szCs w:val="22"/>
        </w:rPr>
        <w:t> </w:t>
      </w:r>
    </w:p>
    <w:p w:rsidR="00DC0B4A" w:rsidRPr="006F6DC1" w:rsidRDefault="00DC0B4A" w:rsidP="00DC0B4A">
      <w:pPr>
        <w:pStyle w:val="VENDOSI0"/>
        <w:keepNext w:val="0"/>
      </w:pPr>
      <w:r w:rsidRPr="006F6DC1">
        <w:t>VENDOSI:</w:t>
      </w:r>
    </w:p>
    <w:p w:rsidR="00DC0B4A" w:rsidRPr="006F6DC1" w:rsidRDefault="00DC0B4A" w:rsidP="00DC0B4A">
      <w:pPr>
        <w:pStyle w:val="Paragrafi0"/>
        <w:rPr>
          <w:sz w:val="16"/>
          <w:szCs w:val="22"/>
        </w:rPr>
      </w:pPr>
      <w:r w:rsidRPr="006F6DC1">
        <w:rPr>
          <w:szCs w:val="22"/>
        </w:rPr>
        <w:t> 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1.  Kalimin në pronësi, nga “Albpetrol”, sh.a., bashkisë Patos, të ndërtesës së ish-Institutit Teknologjik të Naftës dhe Gazit (ITNG), me vendndodhje në qytetin e Patosit, sipas genplanit dhe fletinventarit, që i bashkëlidhen këtij vendimi.  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2.  Në listën, që i bashkëlidhet vendimit nr.813, datë 29.11.2007 të Këshillit të Ministrave, pas numrit 210 shtohet numri 211, me këtë emërtim “Ndërtesa e ish-Institutit Teknologjik të Naftës e Gazit (ITNG), me vendndodhje në Patos.”. 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3.  Ngarkohen Ministria e Ekonomisë, Tregtisë dhe Energjetikës, “Albpetrol”, sh.a., bashkia Patos dhe zyra e regjistrimit të pasurive të paluajtshme, për zbatimin e këtij vendimi. </w:t>
      </w:r>
    </w:p>
    <w:p w:rsidR="00DC0B4A" w:rsidRPr="006F6DC1" w:rsidRDefault="00DC0B4A" w:rsidP="00DC0B4A">
      <w:pPr>
        <w:pStyle w:val="Paragrafi0"/>
        <w:rPr>
          <w:szCs w:val="22"/>
        </w:rPr>
      </w:pPr>
      <w:r w:rsidRPr="006F6DC1">
        <w:rPr>
          <w:szCs w:val="22"/>
        </w:rPr>
        <w:t>Ky vendim hyn në fuqi pas botimit në Fletoren Zyrtare.</w:t>
      </w:r>
    </w:p>
    <w:p w:rsidR="00DC0B4A" w:rsidRPr="006F6DC1" w:rsidRDefault="00DC0B4A" w:rsidP="00DC0B4A">
      <w:pPr>
        <w:pStyle w:val="Autoriteti"/>
      </w:pPr>
      <w:r w:rsidRPr="006F6DC1">
        <w:t>  KRYEMINISTRI </w:t>
      </w:r>
    </w:p>
    <w:p w:rsidR="00DC0B4A" w:rsidRPr="006F6DC1" w:rsidRDefault="00DC0B4A" w:rsidP="00DC0B4A">
      <w:pPr>
        <w:pStyle w:val="AutoritetiEmer"/>
      </w:pPr>
      <w:r w:rsidRPr="006F6DC1">
        <w:t>Sali  Berisha</w:t>
      </w: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0E0AB2" w:rsidP="00DC0B4A">
      <w:pPr>
        <w:pStyle w:val="Paragrafi0"/>
        <w:ind w:firstLine="0"/>
        <w:rPr>
          <w:szCs w:val="22"/>
        </w:rPr>
      </w:pPr>
      <w:r w:rsidRPr="006F6DC1">
        <w:rPr>
          <w:noProof/>
          <w:szCs w:val="22"/>
        </w:rPr>
        <w:drawing>
          <wp:inline distT="0" distB="0" distL="0" distR="0">
            <wp:extent cx="5372100" cy="76047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B4A" w:rsidRPr="006F6DC1" w:rsidRDefault="00DC0B4A" w:rsidP="00DC0B4A">
      <w:pPr>
        <w:pStyle w:val="Paragrafi0"/>
        <w:ind w:firstLine="0"/>
        <w:rPr>
          <w:szCs w:val="22"/>
        </w:rPr>
      </w:pPr>
    </w:p>
    <w:p w:rsidR="00DC0B4A" w:rsidRPr="006F6DC1" w:rsidRDefault="00DC0B4A" w:rsidP="00DC0B4A">
      <w:pPr>
        <w:pStyle w:val="Paragrafi0"/>
        <w:ind w:firstLine="0"/>
        <w:rPr>
          <w:szCs w:val="22"/>
        </w:rPr>
        <w:sectPr w:rsidR="00DC0B4A" w:rsidRPr="006F6DC1" w:rsidSect="00DC0B4A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645"/>
          <w:cols w:space="720"/>
          <w:docGrid w:linePitch="360"/>
        </w:sectPr>
      </w:pPr>
    </w:p>
    <w:p w:rsidR="00DC0B4A" w:rsidRPr="006F6DC1" w:rsidRDefault="00DC0B4A" w:rsidP="00DC0B4A">
      <w:pPr>
        <w:pStyle w:val="Paragrafi0"/>
        <w:ind w:firstLine="0"/>
        <w:rPr>
          <w:szCs w:val="22"/>
        </w:rPr>
      </w:pPr>
    </w:p>
    <w:p w:rsidR="00DC0B4A" w:rsidRPr="006F6DC1" w:rsidRDefault="00DC0B4A" w:rsidP="00DC0B4A">
      <w:pPr>
        <w:pStyle w:val="Paragrafi0"/>
        <w:jc w:val="center"/>
        <w:rPr>
          <w:szCs w:val="22"/>
        </w:rPr>
      </w:pPr>
      <w:r w:rsidRPr="006F6DC1">
        <w:rPr>
          <w:szCs w:val="22"/>
        </w:rPr>
        <w:t>1. FORMULARI PËR INVENTARIZIMIN E PRONAVE TË PALUAJTSHME SHTETËRORE</w:t>
      </w:r>
    </w:p>
    <w:p w:rsidR="00DC0B4A" w:rsidRPr="006F6DC1" w:rsidRDefault="00DC0B4A" w:rsidP="00DC0B4A">
      <w:pPr>
        <w:pStyle w:val="Paragrafi0"/>
        <w:jc w:val="center"/>
        <w:rPr>
          <w:szCs w:val="22"/>
        </w:rPr>
      </w:pPr>
      <w:r w:rsidRPr="006F6DC1">
        <w:rPr>
          <w:szCs w:val="22"/>
        </w:rPr>
        <w:t>(Për inventarizimin e pronave të veçanta)</w:t>
      </w:r>
    </w:p>
    <w:p w:rsidR="00DC0B4A" w:rsidRPr="006F6DC1" w:rsidRDefault="00DC0B4A" w:rsidP="00DC0B4A">
      <w:pPr>
        <w:pStyle w:val="Paragrafi0"/>
        <w:rPr>
          <w:szCs w:val="22"/>
        </w:rPr>
      </w:pPr>
    </w:p>
    <w:tbl>
      <w:tblPr>
        <w:tblStyle w:val="TableGrid"/>
        <w:tblW w:w="13059" w:type="dxa"/>
        <w:tblLook w:val="01E0" w:firstRow="1" w:lastRow="1" w:firstColumn="1" w:lastColumn="1" w:noHBand="0" w:noVBand="0"/>
      </w:tblPr>
      <w:tblGrid>
        <w:gridCol w:w="729"/>
        <w:gridCol w:w="1164"/>
        <w:gridCol w:w="995"/>
        <w:gridCol w:w="1037"/>
        <w:gridCol w:w="922"/>
        <w:gridCol w:w="1117"/>
        <w:gridCol w:w="1178"/>
        <w:gridCol w:w="1459"/>
        <w:gridCol w:w="1579"/>
        <w:gridCol w:w="1541"/>
        <w:gridCol w:w="1338"/>
      </w:tblGrid>
      <w:tr w:rsidR="00DC0B4A" w:rsidRPr="006F6DC1" w:rsidTr="00DC0B4A">
        <w:tc>
          <w:tcPr>
            <w:tcW w:w="13059" w:type="dxa"/>
            <w:gridSpan w:val="11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 xml:space="preserve">Albpetrol sh.a.                                                                                       </w:t>
            </w:r>
          </w:p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 xml:space="preserve">Bashkia/komuna: Patos                                                                          </w:t>
            </w:r>
          </w:p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 xml:space="preserve">Fusha e përdorimit të pronës: administratë                                            </w:t>
            </w:r>
          </w:p>
        </w:tc>
      </w:tr>
      <w:tr w:rsidR="00DC0B4A" w:rsidRPr="006F6DC1" w:rsidTr="00DC0B4A">
        <w:tc>
          <w:tcPr>
            <w:tcW w:w="648" w:type="dxa"/>
            <w:vMerge w:val="restart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Nr.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rend.</w:t>
            </w:r>
          </w:p>
        </w:tc>
        <w:tc>
          <w:tcPr>
            <w:tcW w:w="3240" w:type="dxa"/>
            <w:gridSpan w:val="3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A</w:t>
            </w:r>
          </w:p>
        </w:tc>
        <w:tc>
          <w:tcPr>
            <w:tcW w:w="3240" w:type="dxa"/>
            <w:gridSpan w:val="3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B</w:t>
            </w:r>
          </w:p>
        </w:tc>
        <w:tc>
          <w:tcPr>
            <w:tcW w:w="5931" w:type="dxa"/>
            <w:gridSpan w:val="4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C</w:t>
            </w:r>
          </w:p>
        </w:tc>
      </w:tr>
      <w:tr w:rsidR="00DC0B4A" w:rsidRPr="006F6DC1" w:rsidTr="00DC0B4A">
        <w:trPr>
          <w:trHeight w:val="917"/>
        </w:trPr>
        <w:tc>
          <w:tcPr>
            <w:tcW w:w="648" w:type="dxa"/>
            <w:vMerge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Zona kadast.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&amp; Indeksi 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hartës</w:t>
            </w:r>
          </w:p>
        </w:tc>
        <w:tc>
          <w:tcPr>
            <w:tcW w:w="932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Nr. 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pasurisë</w:t>
            </w:r>
          </w:p>
        </w:tc>
        <w:tc>
          <w:tcPr>
            <w:tcW w:w="1048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Lloji 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pronës</w:t>
            </w:r>
          </w:p>
        </w:tc>
        <w:tc>
          <w:tcPr>
            <w:tcW w:w="910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Emri 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pronës,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adresa</w:t>
            </w:r>
          </w:p>
        </w:tc>
        <w:tc>
          <w:tcPr>
            <w:tcW w:w="1087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Sip.totale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e pronës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m</w:t>
            </w:r>
            <w:r w:rsidRPr="006F6DC1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243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Nga sip.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totale sa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ndërtesë m</w:t>
            </w:r>
            <w:r w:rsidRPr="006F6DC1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494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Funksioni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për të cilin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përdoret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prona</w:t>
            </w:r>
          </w:p>
        </w:tc>
        <w:tc>
          <w:tcPr>
            <w:tcW w:w="1396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Institucioni/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enti me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përgjegjësi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administrative</w:t>
            </w:r>
          </w:p>
        </w:tc>
        <w:tc>
          <w:tcPr>
            <w:tcW w:w="1610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Institucioni/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enti përdorues.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Statusi juridik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i përdorimit</w:t>
            </w:r>
          </w:p>
        </w:tc>
        <w:tc>
          <w:tcPr>
            <w:tcW w:w="1431" w:type="dxa"/>
            <w:vAlign w:val="center"/>
          </w:tcPr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Të dhëna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të tjera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(Shënime të</w:t>
            </w:r>
          </w:p>
          <w:p w:rsidR="00DC0B4A" w:rsidRPr="006F6DC1" w:rsidRDefault="00DC0B4A" w:rsidP="00DC0B4A">
            <w:pPr>
              <w:pStyle w:val="Paragrafi0"/>
              <w:ind w:firstLine="0"/>
              <w:jc w:val="center"/>
              <w:rPr>
                <w:rFonts w:ascii="Times New Roman" w:hAnsi="Times New Roman"/>
                <w:b/>
                <w:szCs w:val="22"/>
                <w:lang w:eastAsia="ja-JP"/>
              </w:rPr>
            </w:pPr>
            <w:r w:rsidRPr="006F6DC1">
              <w:rPr>
                <w:b/>
                <w:szCs w:val="22"/>
              </w:rPr>
              <w:t>ve</w:t>
            </w:r>
            <w:r w:rsidRPr="006F6DC1">
              <w:rPr>
                <w:rFonts w:ascii="Times New Roman" w:eastAsia="Times New Roman" w:hAnsi="Times New Roman"/>
                <w:b/>
                <w:szCs w:val="22"/>
                <w:lang w:eastAsia="ja-JP"/>
              </w:rPr>
              <w:t>çanta)</w:t>
            </w: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</w:t>
            </w: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2</w:t>
            </w: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3</w:t>
            </w: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4</w:t>
            </w: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5</w:t>
            </w: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6</w:t>
            </w: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7</w:t>
            </w: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8</w:t>
            </w: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9</w:t>
            </w: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10</w:t>
            </w: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11</w:t>
            </w: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1.</w:t>
            </w: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-</w:t>
            </w: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-</w:t>
            </w: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Truall</w:t>
            </w:r>
          </w:p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Ndërtesë</w:t>
            </w: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Godina e ITNG</w:t>
            </w:r>
          </w:p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Patos</w:t>
            </w: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3488</w:t>
            </w: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1082</w:t>
            </w: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Administratë</w:t>
            </w: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METE</w:t>
            </w: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Albpetrol sh.a.</w:t>
            </w: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Ndërtesë</w:t>
            </w:r>
          </w:p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dy kate</w:t>
            </w: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DC0B4A" w:rsidRPr="006F6DC1" w:rsidTr="00DC0B4A">
        <w:tc>
          <w:tcPr>
            <w:tcW w:w="6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6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32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48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9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087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43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94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6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610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431" w:type="dxa"/>
          </w:tcPr>
          <w:p w:rsidR="00DC0B4A" w:rsidRPr="006F6DC1" w:rsidRDefault="00DC0B4A" w:rsidP="00DC0B4A">
            <w:pPr>
              <w:pStyle w:val="Paragrafi0"/>
              <w:ind w:firstLine="0"/>
              <w:rPr>
                <w:szCs w:val="22"/>
              </w:rPr>
            </w:pPr>
          </w:p>
        </w:tc>
      </w:tr>
    </w:tbl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6F6DC1" w:rsidRDefault="00DC0B4A" w:rsidP="00DC0B4A">
      <w:pPr>
        <w:pStyle w:val="Paragrafi0"/>
        <w:rPr>
          <w:szCs w:val="22"/>
        </w:rPr>
      </w:pPr>
    </w:p>
    <w:p w:rsidR="00DC0B4A" w:rsidRPr="00DC0B4A" w:rsidRDefault="00DC0B4A" w:rsidP="00DC0B4A">
      <w:pPr>
        <w:pStyle w:val="Paragrafi0"/>
      </w:pPr>
    </w:p>
    <w:p w:rsidR="00DC0B4A" w:rsidRPr="00DC0B4A" w:rsidRDefault="00DC0B4A" w:rsidP="00DC0B4A">
      <w:pPr>
        <w:pStyle w:val="Paragrafi0"/>
      </w:pPr>
    </w:p>
    <w:p w:rsidR="00DC0B4A" w:rsidRPr="00DC0B4A" w:rsidRDefault="00DC0B4A" w:rsidP="00DC0B4A">
      <w:pPr>
        <w:pStyle w:val="Paragrafi0"/>
      </w:pPr>
    </w:p>
    <w:p w:rsidR="00DC0B4A" w:rsidRPr="00DC0B4A" w:rsidRDefault="00DC0B4A" w:rsidP="00DC0B4A">
      <w:pPr>
        <w:pStyle w:val="Paragrafi0"/>
      </w:pPr>
    </w:p>
    <w:p w:rsidR="00DC0B4A" w:rsidRPr="00DC0B4A" w:rsidRDefault="00DC0B4A" w:rsidP="00DC0B4A">
      <w:pPr>
        <w:pStyle w:val="Paragrafi0"/>
      </w:pPr>
    </w:p>
    <w:p w:rsidR="00DC0B4A" w:rsidRPr="00DC0B4A" w:rsidRDefault="00DC0B4A" w:rsidP="00DC0B4A">
      <w:pPr>
        <w:pStyle w:val="Paragrafi0"/>
        <w:sectPr w:rsidR="00DC0B4A" w:rsidRPr="00DC0B4A" w:rsidSect="00DC0B4A">
          <w:footerReference w:type="even" r:id="rId9"/>
          <w:footerReference w:type="default" r:id="rId10"/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:rsidR="00016606" w:rsidRDefault="00016606" w:rsidP="00DC0B4A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0AB2">
      <w:r>
        <w:separator/>
      </w:r>
    </w:p>
  </w:endnote>
  <w:endnote w:type="continuationSeparator" w:id="0">
    <w:p w:rsidR="00000000" w:rsidRDefault="000E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B4A" w:rsidRDefault="00DC0B4A" w:rsidP="00DC0B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0B4A" w:rsidRDefault="00DC0B4A" w:rsidP="00DC0B4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B4A" w:rsidRDefault="00DC0B4A" w:rsidP="00DC0B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5645</w:t>
    </w:r>
    <w:r>
      <w:rPr>
        <w:rStyle w:val="PageNumber"/>
      </w:rPr>
      <w:fldChar w:fldCharType="end"/>
    </w:r>
  </w:p>
  <w:p w:rsidR="00DC0B4A" w:rsidRDefault="00DC0B4A" w:rsidP="00DC0B4A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B4A" w:rsidRDefault="00DC0B4A" w:rsidP="00DC0B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0B4A" w:rsidRDefault="00DC0B4A" w:rsidP="00DC0B4A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B4A" w:rsidRDefault="00DC0B4A" w:rsidP="00DC0B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5647</w:t>
    </w:r>
    <w:r>
      <w:rPr>
        <w:rStyle w:val="PageNumber"/>
      </w:rPr>
      <w:fldChar w:fldCharType="end"/>
    </w:r>
  </w:p>
  <w:p w:rsidR="00DC0B4A" w:rsidRDefault="00DC0B4A" w:rsidP="00DC0B4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0AB2">
      <w:r>
        <w:separator/>
      </w:r>
    </w:p>
  </w:footnote>
  <w:footnote w:type="continuationSeparator" w:id="0">
    <w:p w:rsidR="00000000" w:rsidRDefault="000E0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0B4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AB2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0B4A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1131C4-BDCE-4F05-B803-4278BDF8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B4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DC0B4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DC0B4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0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