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CEC" w:rsidRPr="006F6DC1" w:rsidRDefault="00AC2CEC" w:rsidP="00AC2CEC">
      <w:pPr>
        <w:pStyle w:val="Akti"/>
        <w:keepNext w:val="0"/>
      </w:pPr>
      <w:bookmarkStart w:id="0" w:name="_GoBack"/>
      <w:bookmarkEnd w:id="0"/>
      <w:r w:rsidRPr="006F6DC1">
        <w:t>VENDIM</w:t>
      </w:r>
    </w:p>
    <w:p w:rsidR="00AC2CEC" w:rsidRPr="006F6DC1" w:rsidRDefault="00AC2CEC" w:rsidP="00AC2CEC">
      <w:pPr>
        <w:pStyle w:val="NumriData"/>
        <w:keepNext w:val="0"/>
        <w:rPr>
          <w:szCs w:val="22"/>
        </w:rPr>
      </w:pPr>
      <w:r w:rsidRPr="006F6DC1">
        <w:rPr>
          <w:szCs w:val="22"/>
        </w:rPr>
        <w:t>Nr.775, datë 8.7.2009</w:t>
      </w:r>
    </w:p>
    <w:p w:rsidR="00AC2CEC" w:rsidRPr="006F6DC1" w:rsidRDefault="00AC2CEC" w:rsidP="00AC2CEC">
      <w:pPr>
        <w:pStyle w:val="Paragrafi0"/>
        <w:rPr>
          <w:szCs w:val="22"/>
        </w:rPr>
      </w:pPr>
    </w:p>
    <w:p w:rsidR="00AC2CEC" w:rsidRPr="006F6DC1" w:rsidRDefault="00AC2CEC" w:rsidP="00AC2CEC">
      <w:pPr>
        <w:pStyle w:val="Titulli0"/>
        <w:keepNext w:val="0"/>
      </w:pPr>
      <w:r w:rsidRPr="006F6DC1">
        <w:t>PËR DISA SHTESA DHE NDRYSHIME NË MARRËVESHJEN E KONCESIONIT TË FORMËS “BOO”, TË LIDHUR NDËRMJET MINISTRISË SË INDUSTRISË DHE TË ENERGJETIKËS, MINISTRISË SË RREGULLIMIT TË TERRITORIT DHE TË TURIZMIT, MINISTRISË SË BUJQËSISË DHE TË USHQIMIT DHE “HIDROINVEST” SHPK-SË, ÇARSHOVË, PËRMET, PËR NDËRTIMIN E HIDROCENTRALEVE NË STRANIK DHE ZALL TORE, NË KOMUNËN STRAVAJ, LIBRAZHD”, DHE PËR DISA NDRYSHIME NË VENDIMIN NR.565, DATË 12.8.2005 TË KËSHILLIT TË MINISTRAVE</w:t>
      </w:r>
    </w:p>
    <w:p w:rsidR="00AC2CEC" w:rsidRPr="006F6DC1" w:rsidRDefault="00AC2CEC" w:rsidP="00AC2CEC">
      <w:pPr>
        <w:pStyle w:val="Paragrafi0"/>
        <w:rPr>
          <w:szCs w:val="22"/>
        </w:rPr>
      </w:pPr>
      <w:r w:rsidRPr="006F6DC1">
        <w:rPr>
          <w:szCs w:val="22"/>
        </w:rPr>
        <w:t> </w:t>
      </w:r>
    </w:p>
    <w:p w:rsidR="00AC2CEC" w:rsidRPr="006F6DC1" w:rsidRDefault="00AC2CEC" w:rsidP="00AC2CEC">
      <w:pPr>
        <w:pStyle w:val="Paragrafi0"/>
        <w:rPr>
          <w:szCs w:val="22"/>
        </w:rPr>
      </w:pPr>
      <w:r w:rsidRPr="006F6DC1">
        <w:rPr>
          <w:szCs w:val="22"/>
        </w:rPr>
        <w:t>Në mbështetje të nenit 100 të Kushtetutës dhe të neneve 21, pika 4, e 27, të ligjit nr.9663, datë 18.12.2006 “Për koncesionet”, të ndryshuar, me propozimin e Ministrit të Ekonomisë, Tregtisë dhe Energjetikës dhe të ministrit të Bujqësisë, Ushqimit dhe Mbrojtjes së Konsumatorit, Këshilli i Ministrave</w:t>
      </w:r>
    </w:p>
    <w:p w:rsidR="00AC2CEC" w:rsidRPr="006F6DC1" w:rsidRDefault="00AC2CEC" w:rsidP="00AC2CEC">
      <w:pPr>
        <w:pStyle w:val="Paragrafi0"/>
        <w:rPr>
          <w:szCs w:val="22"/>
        </w:rPr>
      </w:pPr>
      <w:r w:rsidRPr="006F6DC1">
        <w:rPr>
          <w:szCs w:val="22"/>
        </w:rPr>
        <w:t> </w:t>
      </w:r>
    </w:p>
    <w:p w:rsidR="00AC2CEC" w:rsidRPr="006F6DC1" w:rsidRDefault="00AC2CEC" w:rsidP="00AC2CEC">
      <w:pPr>
        <w:pStyle w:val="VENDOSI0"/>
        <w:keepNext w:val="0"/>
      </w:pPr>
      <w:r w:rsidRPr="006F6DC1">
        <w:t>VENDOSI:</w:t>
      </w:r>
    </w:p>
    <w:p w:rsidR="00AC2CEC" w:rsidRPr="006F6DC1" w:rsidRDefault="00AC2CEC" w:rsidP="00AC2CEC">
      <w:pPr>
        <w:pStyle w:val="Paragrafi0"/>
        <w:rPr>
          <w:szCs w:val="22"/>
        </w:rPr>
      </w:pPr>
      <w:r w:rsidRPr="006F6DC1">
        <w:rPr>
          <w:szCs w:val="22"/>
        </w:rPr>
        <w:t> </w:t>
      </w:r>
    </w:p>
    <w:p w:rsidR="00AC2CEC" w:rsidRPr="006F6DC1" w:rsidRDefault="00AC2CEC" w:rsidP="00AC2CEC">
      <w:pPr>
        <w:pStyle w:val="Paragrafi0"/>
        <w:rPr>
          <w:szCs w:val="22"/>
        </w:rPr>
      </w:pPr>
      <w:r w:rsidRPr="006F6DC1">
        <w:rPr>
          <w:szCs w:val="22"/>
        </w:rPr>
        <w:t>1. Miratimin e disa shtesave dhe ndryshimeve në marrëveshjen e koncesionit, të formës “BOO”, të lidhur ndërmjet Ministrisë së Industrisë dhe të Energjetikës, Ministrisë së Rregullimit të Territorit dhe të Turizmit, Ministrisë së Bujqësisë dhe të Ushqimit dhe “Hidroinvest” sh.p.k.-së, Çarshovë, Përmet, për ndërtimin e hidrocentraleve në Stranik dhe Zall Tore, në komunën Stravaj, Librazhd, të miratuar me vendimin nr.565, datë 12.8.2005 të Këshillit të Ministrave, sipas tekstit dhe anekseve, që i bashkëlidhen këtij vendimi.</w:t>
      </w:r>
    </w:p>
    <w:p w:rsidR="00AC2CEC" w:rsidRPr="006F6DC1" w:rsidRDefault="00AC2CEC" w:rsidP="00AC2CEC">
      <w:pPr>
        <w:pStyle w:val="Paragrafi0"/>
        <w:rPr>
          <w:szCs w:val="22"/>
        </w:rPr>
      </w:pPr>
      <w:r w:rsidRPr="006F6DC1">
        <w:rPr>
          <w:szCs w:val="22"/>
        </w:rPr>
        <w:t> 2.  Kudo në vendimin nr.565, datë 12.8.2005 të Këshillit të Ministrave dhe në tekstin e marrëveshjes së koncesionit, të përmendur në pikën 1 të këtij vendimi, emërtimet “Ministrisë së Industrisë dhe të Energjetikës, Ministrisë së Rregullimit të Territorit dhe të Turizmit, Ministrisë së Bujqësisë dhe të Ushqimit” zëvendësohen me “Ministrisë së Ekonomisë, Tregtisë dhe Energjetikës, Ministrisë së Bujqësisë, Ushqimit dhe Mbrojtjes së Konsumatorit.”.</w:t>
      </w:r>
    </w:p>
    <w:p w:rsidR="00AC2CEC" w:rsidRPr="006F6DC1" w:rsidRDefault="00AC2CEC" w:rsidP="00AC2CEC">
      <w:pPr>
        <w:pStyle w:val="Paragrafi0"/>
        <w:rPr>
          <w:szCs w:val="22"/>
        </w:rPr>
      </w:pPr>
      <w:r w:rsidRPr="006F6DC1">
        <w:rPr>
          <w:szCs w:val="22"/>
        </w:rPr>
        <w:t> 3.  Ngarkohen Ministria e Ekonomisë, Tregtisë dhe Energjetikës dhe Ministria e Bujqësisë, Ushqimit dhe Mbrojtjes së Konsumatorit për zbatimin e këtij vendimi.</w:t>
      </w:r>
    </w:p>
    <w:p w:rsidR="00AC2CEC" w:rsidRPr="006F6DC1" w:rsidRDefault="00AC2CEC" w:rsidP="00AC2CEC">
      <w:pPr>
        <w:pStyle w:val="Paragrafi0"/>
        <w:rPr>
          <w:szCs w:val="22"/>
        </w:rPr>
      </w:pPr>
      <w:r w:rsidRPr="006F6DC1">
        <w:rPr>
          <w:szCs w:val="22"/>
        </w:rPr>
        <w:t>Ky vendim hyn në fuqi pas botimit në Fletoren Zyrtare.</w:t>
      </w:r>
    </w:p>
    <w:p w:rsidR="00AC2CEC" w:rsidRPr="006F6DC1" w:rsidRDefault="00AC2CEC" w:rsidP="00AC2CEC">
      <w:pPr>
        <w:pStyle w:val="Paragrafi0"/>
        <w:rPr>
          <w:szCs w:val="22"/>
        </w:rPr>
      </w:pPr>
      <w:r w:rsidRPr="006F6DC1">
        <w:rPr>
          <w:szCs w:val="22"/>
        </w:rPr>
        <w:t> </w:t>
      </w:r>
    </w:p>
    <w:p w:rsidR="00AC2CEC" w:rsidRPr="006F6DC1" w:rsidRDefault="00AC2CEC" w:rsidP="00AC2CEC">
      <w:pPr>
        <w:pStyle w:val="Autoriteti"/>
        <w:keepNext w:val="0"/>
      </w:pPr>
      <w:r w:rsidRPr="006F6DC1">
        <w:t>Kryeministri</w:t>
      </w:r>
    </w:p>
    <w:p w:rsidR="00AC2CEC" w:rsidRPr="006F6DC1" w:rsidRDefault="00AC2CEC" w:rsidP="00AC2CEC">
      <w:pPr>
        <w:pStyle w:val="AutoritetiEmer"/>
      </w:pPr>
      <w:r w:rsidRPr="006F6DC1">
        <w:t>Sali Berisha</w:t>
      </w: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38558F" w:rsidP="00AC2CEC">
      <w:pPr>
        <w:pStyle w:val="Figure"/>
      </w:pPr>
      <w:r w:rsidRPr="006F6DC1">
        <w:rPr>
          <w:noProof/>
        </w:rPr>
        <w:drawing>
          <wp:inline distT="0" distB="0" distL="0" distR="0">
            <wp:extent cx="5495925" cy="7934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3966"/>
                    <a:stretch>
                      <a:fillRect/>
                    </a:stretch>
                  </pic:blipFill>
                  <pic:spPr bwMode="auto">
                    <a:xfrm>
                      <a:off x="0" y="0"/>
                      <a:ext cx="5495925" cy="7934325"/>
                    </a:xfrm>
                    <a:prstGeom prst="rect">
                      <a:avLst/>
                    </a:prstGeom>
                    <a:noFill/>
                    <a:ln>
                      <a:noFill/>
                    </a:ln>
                  </pic:spPr>
                </pic:pic>
              </a:graphicData>
            </a:graphic>
          </wp:inline>
        </w:drawing>
      </w:r>
    </w:p>
    <w:p w:rsidR="00AC2CEC" w:rsidRPr="006F6DC1" w:rsidRDefault="00AC2CEC" w:rsidP="00AC2CEC">
      <w:pPr>
        <w:pStyle w:val="Paragrafi0"/>
        <w:ind w:firstLine="0"/>
        <w:rPr>
          <w:szCs w:val="22"/>
        </w:rPr>
      </w:pPr>
    </w:p>
    <w:p w:rsidR="00AC2CEC" w:rsidRPr="006F6DC1" w:rsidRDefault="0038558F" w:rsidP="00AC2CEC">
      <w:pPr>
        <w:pStyle w:val="Paragrafi0"/>
        <w:ind w:firstLine="0"/>
        <w:rPr>
          <w:szCs w:val="22"/>
        </w:rPr>
      </w:pPr>
      <w:r w:rsidRPr="006F6DC1">
        <w:rPr>
          <w:noProof/>
          <w:szCs w:val="22"/>
        </w:rPr>
        <w:drawing>
          <wp:inline distT="0" distB="0" distL="0" distR="0">
            <wp:extent cx="5829300" cy="8220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9300" cy="8220075"/>
                    </a:xfrm>
                    <a:prstGeom prst="rect">
                      <a:avLst/>
                    </a:prstGeom>
                    <a:noFill/>
                    <a:ln>
                      <a:noFill/>
                    </a:ln>
                  </pic:spPr>
                </pic:pic>
              </a:graphicData>
            </a:graphic>
          </wp:inline>
        </w:drawing>
      </w:r>
    </w:p>
    <w:p w:rsidR="00AC2CEC" w:rsidRPr="006F6DC1" w:rsidRDefault="0038558F" w:rsidP="00AC2CEC">
      <w:pPr>
        <w:pStyle w:val="Paragrafi0"/>
        <w:ind w:firstLine="0"/>
        <w:rPr>
          <w:szCs w:val="22"/>
        </w:rPr>
      </w:pPr>
      <w:r w:rsidRPr="006F6DC1">
        <w:rPr>
          <w:noProof/>
          <w:szCs w:val="22"/>
        </w:rPr>
        <w:drawing>
          <wp:inline distT="0" distB="0" distL="0" distR="0">
            <wp:extent cx="5829300"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29300" cy="8229600"/>
                    </a:xfrm>
                    <a:prstGeom prst="rect">
                      <a:avLst/>
                    </a:prstGeom>
                    <a:noFill/>
                    <a:ln>
                      <a:noFill/>
                    </a:ln>
                  </pic:spPr>
                </pic:pic>
              </a:graphicData>
            </a:graphic>
          </wp:inline>
        </w:drawing>
      </w:r>
    </w:p>
    <w:p w:rsidR="00AC2CEC" w:rsidRPr="006F6DC1" w:rsidRDefault="0038558F" w:rsidP="00AC2CEC">
      <w:pPr>
        <w:pStyle w:val="Paragrafi0"/>
        <w:ind w:firstLine="0"/>
        <w:rPr>
          <w:szCs w:val="22"/>
        </w:rPr>
      </w:pPr>
      <w:r w:rsidRPr="006F6DC1">
        <w:rPr>
          <w:noProof/>
          <w:szCs w:val="22"/>
        </w:rPr>
        <w:drawing>
          <wp:inline distT="0" distB="0" distL="0" distR="0">
            <wp:extent cx="5829300" cy="7134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9300" cy="7134225"/>
                    </a:xfrm>
                    <a:prstGeom prst="rect">
                      <a:avLst/>
                    </a:prstGeom>
                    <a:noFill/>
                    <a:ln>
                      <a:noFill/>
                    </a:ln>
                  </pic:spPr>
                </pic:pic>
              </a:graphicData>
            </a:graphic>
          </wp:inline>
        </w:drawing>
      </w: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38558F" w:rsidP="00AC2CEC">
      <w:pPr>
        <w:pStyle w:val="Paragrafi0"/>
        <w:ind w:firstLine="0"/>
        <w:rPr>
          <w:szCs w:val="22"/>
        </w:rPr>
      </w:pPr>
      <w:r w:rsidRPr="006F6DC1">
        <w:rPr>
          <w:noProof/>
          <w:szCs w:val="22"/>
        </w:rPr>
        <w:drawing>
          <wp:inline distT="0" distB="0" distL="0" distR="0">
            <wp:extent cx="5486400" cy="6181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6181725"/>
                    </a:xfrm>
                    <a:prstGeom prst="rect">
                      <a:avLst/>
                    </a:prstGeom>
                    <a:noFill/>
                    <a:ln>
                      <a:noFill/>
                    </a:ln>
                  </pic:spPr>
                </pic:pic>
              </a:graphicData>
            </a:graphic>
          </wp:inline>
        </w:drawing>
      </w: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AC2CEC" w:rsidP="00AC2CEC">
      <w:pPr>
        <w:pStyle w:val="Paragrafi0"/>
        <w:ind w:firstLine="0"/>
        <w:rPr>
          <w:szCs w:val="22"/>
        </w:rPr>
      </w:pPr>
    </w:p>
    <w:p w:rsidR="00AC2CEC" w:rsidRPr="006F6DC1" w:rsidRDefault="0038558F" w:rsidP="00AC2CEC">
      <w:pPr>
        <w:pStyle w:val="Paragrafi0"/>
        <w:ind w:firstLine="0"/>
        <w:rPr>
          <w:szCs w:val="22"/>
        </w:rPr>
      </w:pPr>
      <w:r w:rsidRPr="006F6DC1">
        <w:rPr>
          <w:noProof/>
          <w:szCs w:val="22"/>
        </w:rPr>
        <w:drawing>
          <wp:inline distT="0" distB="0" distL="0" distR="0">
            <wp:extent cx="5943600" cy="8220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220075"/>
                    </a:xfrm>
                    <a:prstGeom prst="rect">
                      <a:avLst/>
                    </a:prstGeom>
                    <a:noFill/>
                    <a:ln>
                      <a:noFill/>
                    </a:ln>
                  </pic:spPr>
                </pic:pic>
              </a:graphicData>
            </a:graphic>
          </wp:inline>
        </w:drawing>
      </w:r>
    </w:p>
    <w:sectPr w:rsidR="00AC2CEC" w:rsidRPr="006F6DC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C2CEC"/>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8A3"/>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58F"/>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2CEC"/>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9C8AF8D-69D9-41EF-A09A-E046538E6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2019-03-18T13:44:00Z</dcterms:created>
  <dcterms:modified xsi:type="dcterms:W3CDTF">2019-03-18T13:44:00Z</dcterms:modified>
</cp:coreProperties>
</file>