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D67" w:rsidRDefault="00D82D67" w:rsidP="00D82D67">
      <w:pPr>
        <w:pStyle w:val="Akti"/>
      </w:pPr>
      <w:bookmarkStart w:id="0" w:name="_GoBack"/>
      <w:bookmarkEnd w:id="0"/>
      <w:r>
        <w:t>Vendim</w:t>
      </w:r>
    </w:p>
    <w:p w:rsidR="00D82D67" w:rsidRDefault="00D82D67" w:rsidP="00D82D67">
      <w:pPr>
        <w:pStyle w:val="NumriData"/>
      </w:pPr>
      <w:r>
        <w:t>Nr.790, datë 22.7.2009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Titulli0"/>
      </w:pPr>
      <w:r>
        <w:t xml:space="preserve">PëR shpalljen “zonë ekonomike”, me statusin “Park industrial” </w:t>
      </w:r>
    </w:p>
    <w:p w:rsidR="00D82D67" w:rsidRDefault="00D82D67" w:rsidP="00D82D67">
      <w:pPr>
        <w:pStyle w:val="Titulli0"/>
      </w:pPr>
      <w:r>
        <w:t>në Laknas, Tiranë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  <w:r>
        <w:t>Në mbështetje të nenit 100 të Kushtetutës, të nenit 4 të ligjit nr.9789, datë 19.7.2007 “Për krijimin dhe funksionimin e zonave ekonomike”, dhe të shkronjës “g” të pikës 1 të nenit 4, të ligjit nr.9663, datë 18.12.2006 “Për koncesionet”, të ndryshuar, me propozimin e Ministrit të Ekonomisë, Tregtisë dhe Energjetikës, Këshilli i Ministrave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VENDOSI0"/>
      </w:pPr>
      <w:r>
        <w:t>Vendosi: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  <w:r>
        <w:t>1. Shpalljen zonë ekonomike, me status “Park industrial”, të sipërfaqes 9.48 (nëntë pikë dyzet e tetë), ha, në zonën rurale, në Laknas, Tiranë, shtrirja dhe kufizmet e së cilës specifikohen në hartën treguese, që i bashkëlidhet këtij vendimi.</w:t>
      </w:r>
    </w:p>
    <w:p w:rsidR="00D82D67" w:rsidRDefault="00D82D67" w:rsidP="00D82D67">
      <w:pPr>
        <w:pStyle w:val="Paragrafi0"/>
      </w:pPr>
      <w:r>
        <w:t>2. Lloji i veprimtarisë, që do të zhvillohen në këtë zonë, është:</w:t>
      </w:r>
    </w:p>
    <w:p w:rsidR="00D82D67" w:rsidRDefault="00D82D67" w:rsidP="00D82D67">
      <w:pPr>
        <w:pStyle w:val="Paragrafi0"/>
      </w:pPr>
      <w:r>
        <w:t>i) Veprimtari prodhuese, industriale;</w:t>
      </w:r>
    </w:p>
    <w:p w:rsidR="00D82D67" w:rsidRDefault="00D82D67" w:rsidP="00D82D67">
      <w:pPr>
        <w:pStyle w:val="Paragrafi0"/>
      </w:pPr>
      <w:r>
        <w:t>ii) Veprimtari tregtare, import-eksport;</w:t>
      </w:r>
    </w:p>
    <w:p w:rsidR="00D82D67" w:rsidRDefault="00D82D67" w:rsidP="00D82D67">
      <w:pPr>
        <w:pStyle w:val="Paragrafi0"/>
      </w:pPr>
      <w:r>
        <w:t>iii) Shërbime dhe magazinime.</w:t>
      </w:r>
    </w:p>
    <w:p w:rsidR="00D82D67" w:rsidRDefault="00D82D67" w:rsidP="00D82D67">
      <w:pPr>
        <w:pStyle w:val="Paragrafi0"/>
      </w:pPr>
      <w:r>
        <w:t>3. Periudha e funksionimit të kësaj zone ekonomike është 35 vjet.</w:t>
      </w:r>
    </w:p>
    <w:p w:rsidR="00D82D67" w:rsidRDefault="00D82D67" w:rsidP="00D82D67">
      <w:pPr>
        <w:pStyle w:val="Paragrafi0"/>
      </w:pPr>
      <w:r>
        <w:t>4. E drejta për krijimin, zhvillimin dhe veprimin e zonës ekonomike, me statusin “Park industrial”, jepet me koncesion, të formës “BOT” (ndërtim, operim, transferim).</w:t>
      </w:r>
    </w:p>
    <w:p w:rsidR="00D82D67" w:rsidRDefault="00D82D67" w:rsidP="00D82D67">
      <w:pPr>
        <w:pStyle w:val="Paragrafi0"/>
      </w:pPr>
      <w:r>
        <w:t>5. Procedura e përzgjedhjes së zhvilluesit të zonës bëhet në mbështetje të ligjit nr.9663, datë 18.12.2006 “Për koncesionet”, të ndryshuar.</w:t>
      </w:r>
    </w:p>
    <w:p w:rsidR="00D82D67" w:rsidRDefault="00D82D67" w:rsidP="00D82D67">
      <w:pPr>
        <w:pStyle w:val="Paragrafi0"/>
      </w:pPr>
      <w:r>
        <w:t>6. Ngarkohet Ministria e Ekonomisë, Tregtisë dhe Energjetikës, Inspektorati Ndërtimor e Urbanistik dhe bashkia Kamëz për zbatimin e këtij vendimi.</w:t>
      </w:r>
    </w:p>
    <w:p w:rsidR="00D82D67" w:rsidRDefault="00D82D67" w:rsidP="00D82D67">
      <w:pPr>
        <w:pStyle w:val="Paragrafi0"/>
      </w:pPr>
      <w:r>
        <w:t>Ky vendim hyn në fuqi pas botimit në Fletoren Zyrtare.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Autoriteti"/>
      </w:pPr>
      <w:r>
        <w:t>Kryeministri</w:t>
      </w:r>
    </w:p>
    <w:p w:rsidR="00D82D67" w:rsidRDefault="00D82D67" w:rsidP="00D82D67">
      <w:pPr>
        <w:pStyle w:val="AutoritetiEmer"/>
      </w:pPr>
      <w:r>
        <w:t>Sali Berisha</w:t>
      </w: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Default="00D82D67" w:rsidP="00D82D67">
      <w:pPr>
        <w:pStyle w:val="Paragrafi0"/>
      </w:pPr>
    </w:p>
    <w:p w:rsidR="00D82D67" w:rsidRPr="007931A1" w:rsidRDefault="001273D1" w:rsidP="00D82D67">
      <w:pPr>
        <w:pStyle w:val="Figure"/>
      </w:pPr>
      <w:r w:rsidRPr="002D6DBC">
        <w:rPr>
          <w:noProof/>
        </w:rPr>
        <w:drawing>
          <wp:inline distT="0" distB="0" distL="0" distR="0">
            <wp:extent cx="5753100" cy="7896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D67" w:rsidRPr="006C51DB" w:rsidRDefault="00D82D67" w:rsidP="00D82D67">
      <w:pPr>
        <w:pStyle w:val="Paragrafi0"/>
      </w:pPr>
    </w:p>
    <w:sectPr w:rsidR="00D82D67" w:rsidRPr="006C51DB" w:rsidSect="00D82D6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77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73D1">
      <w:r>
        <w:separator/>
      </w:r>
    </w:p>
  </w:endnote>
  <w:endnote w:type="continuationSeparator" w:id="0">
    <w:p w:rsidR="00000000" w:rsidRDefault="0012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D67" w:rsidRDefault="00D82D67" w:rsidP="00D82D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2D67" w:rsidRDefault="00D82D67" w:rsidP="00D82D6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D67" w:rsidRDefault="00D82D67" w:rsidP="00D82D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5772</w:t>
    </w:r>
    <w:r>
      <w:rPr>
        <w:rStyle w:val="PageNumber"/>
      </w:rPr>
      <w:fldChar w:fldCharType="end"/>
    </w:r>
  </w:p>
  <w:p w:rsidR="00D82D67" w:rsidRDefault="00D82D67" w:rsidP="00D82D6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73D1">
      <w:r>
        <w:separator/>
      </w:r>
    </w:p>
  </w:footnote>
  <w:footnote w:type="continuationSeparator" w:id="0">
    <w:p w:rsidR="00000000" w:rsidRDefault="00127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2D6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273D1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2D67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494523-1A55-46C9-88AC-004CEF77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D6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D82D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82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