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AB7" w:rsidRPr="00501A58" w:rsidRDefault="00632AB7" w:rsidP="00632AB7">
      <w:pPr>
        <w:pStyle w:val="Akti"/>
        <w:keepNext w:val="0"/>
        <w:rPr>
          <w:lang w:val="it-IT"/>
        </w:rPr>
      </w:pPr>
      <w:r w:rsidRPr="00501A58">
        <w:rPr>
          <w:lang w:val="it-IT"/>
        </w:rPr>
        <w:t>VENDIM</w:t>
      </w:r>
    </w:p>
    <w:p w:rsidR="00632AB7" w:rsidRPr="00501A58" w:rsidRDefault="00632AB7" w:rsidP="00632AB7">
      <w:pPr>
        <w:pStyle w:val="NumriData"/>
        <w:keepNext w:val="0"/>
        <w:rPr>
          <w:lang w:val="it-IT"/>
        </w:rPr>
      </w:pPr>
      <w:r w:rsidRPr="00501A58">
        <w:rPr>
          <w:lang w:val="it-IT"/>
        </w:rPr>
        <w:t>Nr.850, datë 5.8.2009</w:t>
      </w:r>
    </w:p>
    <w:p w:rsidR="00632AB7" w:rsidRPr="00501A58" w:rsidRDefault="00632AB7" w:rsidP="00632AB7">
      <w:pPr>
        <w:pStyle w:val="Paragrafi"/>
        <w:rPr>
          <w:lang w:val="it-IT"/>
        </w:rPr>
      </w:pPr>
      <w:r w:rsidRPr="00501A58">
        <w:rPr>
          <w:lang w:val="it-IT"/>
        </w:rPr>
        <w:t>  </w:t>
      </w:r>
    </w:p>
    <w:p w:rsidR="00632AB7" w:rsidRPr="00501A58" w:rsidRDefault="00632AB7" w:rsidP="00632AB7">
      <w:pPr>
        <w:pStyle w:val="Titulli"/>
        <w:keepNext w:val="0"/>
        <w:rPr>
          <w:lang w:val="it-IT"/>
        </w:rPr>
      </w:pPr>
      <w:r w:rsidRPr="00501A58">
        <w:rPr>
          <w:lang w:val="it-IT"/>
        </w:rPr>
        <w:t>PËR DHËNIEN NË PËRDORIM QENDRËS KOMBËTARE TË APLIKIMEVE PËR ENERGJINË TË DISA MJEDISEVE NË NDËRTESËN (GODINËN) E ISH-INIMA-s</w:t>
      </w:r>
    </w:p>
    <w:p w:rsidR="00632AB7" w:rsidRPr="00501A58" w:rsidRDefault="00632AB7" w:rsidP="00632AB7">
      <w:pPr>
        <w:pStyle w:val="Paragrafi"/>
        <w:rPr>
          <w:lang w:val="it-IT"/>
        </w:rPr>
      </w:pPr>
      <w:r w:rsidRPr="00501A58">
        <w:rPr>
          <w:lang w:val="it-IT"/>
        </w:rPr>
        <w:t>  </w:t>
      </w:r>
    </w:p>
    <w:p w:rsidR="00632AB7" w:rsidRPr="00501A58" w:rsidRDefault="00632AB7" w:rsidP="00632AB7">
      <w:pPr>
        <w:pStyle w:val="BazLigjPropozues"/>
        <w:keepNext w:val="0"/>
      </w:pPr>
      <w:proofErr w:type="spellStart"/>
      <w:r w:rsidRPr="00501A58">
        <w:t>Në</w:t>
      </w:r>
      <w:proofErr w:type="spellEnd"/>
      <w:r w:rsidRPr="00501A58">
        <w:t xml:space="preserve"> </w:t>
      </w:r>
      <w:proofErr w:type="spellStart"/>
      <w:r w:rsidRPr="00501A58">
        <w:t>mbështetje</w:t>
      </w:r>
      <w:proofErr w:type="spellEnd"/>
      <w:r w:rsidRPr="00501A58">
        <w:t xml:space="preserve"> </w:t>
      </w:r>
      <w:proofErr w:type="spellStart"/>
      <w:r w:rsidRPr="00501A58">
        <w:t>të</w:t>
      </w:r>
      <w:proofErr w:type="spellEnd"/>
      <w:r w:rsidRPr="00501A58">
        <w:t xml:space="preserve"> </w:t>
      </w:r>
      <w:proofErr w:type="spellStart"/>
      <w:r w:rsidRPr="00501A58">
        <w:t>nenit</w:t>
      </w:r>
      <w:proofErr w:type="spellEnd"/>
      <w:r w:rsidRPr="00501A58">
        <w:t xml:space="preserve"> 100 </w:t>
      </w:r>
      <w:proofErr w:type="spellStart"/>
      <w:r w:rsidRPr="00501A58">
        <w:t>të</w:t>
      </w:r>
      <w:proofErr w:type="spellEnd"/>
      <w:r w:rsidRPr="00501A58">
        <w:t xml:space="preserve"> </w:t>
      </w:r>
      <w:proofErr w:type="spellStart"/>
      <w:r w:rsidRPr="00501A58">
        <w:t>Kushtetutës</w:t>
      </w:r>
      <w:proofErr w:type="spellEnd"/>
      <w:r w:rsidRPr="00501A58">
        <w:t xml:space="preserve">, </w:t>
      </w:r>
      <w:proofErr w:type="spellStart"/>
      <w:r w:rsidRPr="00501A58">
        <w:t>të</w:t>
      </w:r>
      <w:proofErr w:type="spellEnd"/>
      <w:r w:rsidRPr="00501A58">
        <w:t xml:space="preserve"> </w:t>
      </w:r>
      <w:proofErr w:type="spellStart"/>
      <w:r w:rsidRPr="00501A58">
        <w:t>neneve</w:t>
      </w:r>
      <w:proofErr w:type="spellEnd"/>
      <w:r w:rsidRPr="00501A58">
        <w:t xml:space="preserve"> 10 e 13 </w:t>
      </w:r>
      <w:proofErr w:type="spellStart"/>
      <w:r w:rsidRPr="00501A58">
        <w:t>të</w:t>
      </w:r>
      <w:proofErr w:type="spellEnd"/>
      <w:r w:rsidRPr="00501A58">
        <w:t xml:space="preserve"> </w:t>
      </w:r>
      <w:proofErr w:type="spellStart"/>
      <w:r w:rsidRPr="00501A58">
        <w:t>ligjit</w:t>
      </w:r>
      <w:proofErr w:type="spellEnd"/>
      <w:r w:rsidRPr="00501A58">
        <w:t xml:space="preserve"> nr.8743, </w:t>
      </w:r>
      <w:proofErr w:type="spellStart"/>
      <w:r w:rsidRPr="00501A58">
        <w:t>datë</w:t>
      </w:r>
      <w:proofErr w:type="spellEnd"/>
      <w:r w:rsidRPr="00501A58">
        <w:t xml:space="preserve"> 23.2.2001 “</w:t>
      </w:r>
      <w:proofErr w:type="spellStart"/>
      <w:r w:rsidRPr="00501A58">
        <w:t>Për</w:t>
      </w:r>
      <w:proofErr w:type="spellEnd"/>
      <w:r w:rsidRPr="00501A58">
        <w:t xml:space="preserve"> </w:t>
      </w:r>
      <w:proofErr w:type="spellStart"/>
      <w:r w:rsidRPr="00501A58">
        <w:t>pronat</w:t>
      </w:r>
      <w:proofErr w:type="spellEnd"/>
      <w:r w:rsidRPr="00501A58">
        <w:t xml:space="preserve"> e </w:t>
      </w:r>
      <w:proofErr w:type="spellStart"/>
      <w:r w:rsidRPr="00501A58">
        <w:t>paluajtshme</w:t>
      </w:r>
      <w:proofErr w:type="spellEnd"/>
      <w:r w:rsidRPr="00501A58">
        <w:t xml:space="preserve"> </w:t>
      </w:r>
      <w:proofErr w:type="spellStart"/>
      <w:r w:rsidRPr="00501A58">
        <w:t>të</w:t>
      </w:r>
      <w:proofErr w:type="spellEnd"/>
      <w:r w:rsidRPr="00501A58">
        <w:t xml:space="preserve"> </w:t>
      </w:r>
      <w:proofErr w:type="spellStart"/>
      <w:r w:rsidRPr="00501A58">
        <w:t>shtetit</w:t>
      </w:r>
      <w:proofErr w:type="spellEnd"/>
      <w:r w:rsidRPr="00501A58">
        <w:t xml:space="preserve">”, me </w:t>
      </w:r>
      <w:proofErr w:type="spellStart"/>
      <w:r w:rsidRPr="00501A58">
        <w:t>propozimin</w:t>
      </w:r>
      <w:proofErr w:type="spellEnd"/>
      <w:r w:rsidRPr="00501A58">
        <w:t xml:space="preserve"> e </w:t>
      </w:r>
      <w:proofErr w:type="spellStart"/>
      <w:r w:rsidRPr="00501A58">
        <w:t>Ministrit</w:t>
      </w:r>
      <w:proofErr w:type="spellEnd"/>
      <w:r w:rsidRPr="00501A58">
        <w:t xml:space="preserve"> </w:t>
      </w:r>
      <w:proofErr w:type="spellStart"/>
      <w:r w:rsidRPr="00501A58">
        <w:t>të</w:t>
      </w:r>
      <w:proofErr w:type="spellEnd"/>
      <w:r w:rsidRPr="00501A58">
        <w:t xml:space="preserve"> </w:t>
      </w:r>
      <w:proofErr w:type="spellStart"/>
      <w:r w:rsidRPr="00501A58">
        <w:t>Ekonomisë</w:t>
      </w:r>
      <w:proofErr w:type="spellEnd"/>
      <w:r w:rsidRPr="00501A58">
        <w:t xml:space="preserve">, </w:t>
      </w:r>
      <w:proofErr w:type="spellStart"/>
      <w:r w:rsidRPr="00501A58">
        <w:t>Tregtisë</w:t>
      </w:r>
      <w:proofErr w:type="spellEnd"/>
      <w:r w:rsidRPr="00501A58">
        <w:t xml:space="preserve"> </w:t>
      </w:r>
      <w:proofErr w:type="spellStart"/>
      <w:r w:rsidRPr="00501A58">
        <w:t>dhe</w:t>
      </w:r>
      <w:proofErr w:type="spellEnd"/>
      <w:r w:rsidRPr="00501A58">
        <w:t xml:space="preserve"> </w:t>
      </w:r>
      <w:proofErr w:type="spellStart"/>
      <w:r w:rsidRPr="00501A58">
        <w:t>Energjetikës</w:t>
      </w:r>
      <w:proofErr w:type="spellEnd"/>
      <w:r w:rsidRPr="00501A58">
        <w:t xml:space="preserve">, </w:t>
      </w:r>
      <w:proofErr w:type="spellStart"/>
      <w:r w:rsidRPr="00501A58">
        <w:t>Këshilli</w:t>
      </w:r>
      <w:proofErr w:type="spellEnd"/>
      <w:r w:rsidRPr="00501A58">
        <w:t xml:space="preserve"> </w:t>
      </w:r>
      <w:proofErr w:type="spellStart"/>
      <w:r w:rsidRPr="00501A58">
        <w:t>i</w:t>
      </w:r>
      <w:proofErr w:type="spellEnd"/>
      <w:r w:rsidRPr="00501A58">
        <w:t xml:space="preserve"> </w:t>
      </w:r>
      <w:proofErr w:type="spellStart"/>
      <w:r w:rsidRPr="00501A58">
        <w:t>Ministrave</w:t>
      </w:r>
      <w:proofErr w:type="spellEnd"/>
    </w:p>
    <w:p w:rsidR="00632AB7" w:rsidRPr="00501A58" w:rsidRDefault="00632AB7" w:rsidP="00632AB7">
      <w:pPr>
        <w:pStyle w:val="Paragrafi"/>
        <w:rPr>
          <w:lang w:val="it-IT"/>
        </w:rPr>
      </w:pPr>
      <w:r w:rsidRPr="00501A58">
        <w:rPr>
          <w:lang w:val="it-IT"/>
        </w:rPr>
        <w:t> </w:t>
      </w:r>
    </w:p>
    <w:p w:rsidR="00632AB7" w:rsidRPr="00501A58" w:rsidRDefault="00632AB7" w:rsidP="00632AB7">
      <w:pPr>
        <w:pStyle w:val="VENDOSI"/>
        <w:keepNext w:val="0"/>
        <w:rPr>
          <w:lang w:val="it-IT"/>
        </w:rPr>
      </w:pPr>
      <w:r w:rsidRPr="00501A58">
        <w:rPr>
          <w:lang w:val="it-IT"/>
        </w:rPr>
        <w:t>VENDOSI:</w:t>
      </w:r>
    </w:p>
    <w:p w:rsidR="00632AB7" w:rsidRPr="00501A58" w:rsidRDefault="00632AB7" w:rsidP="00632AB7">
      <w:pPr>
        <w:pStyle w:val="Paragrafi"/>
        <w:rPr>
          <w:lang w:val="it-IT"/>
        </w:rPr>
      </w:pPr>
      <w:r w:rsidRPr="00501A58">
        <w:rPr>
          <w:lang w:val="it-IT"/>
        </w:rPr>
        <w:t> </w:t>
      </w:r>
    </w:p>
    <w:p w:rsidR="00632AB7" w:rsidRPr="00501A58" w:rsidRDefault="00632AB7" w:rsidP="00632AB7">
      <w:pPr>
        <w:pStyle w:val="Paragrafi"/>
        <w:rPr>
          <w:lang w:val="it-IT"/>
        </w:rPr>
      </w:pPr>
      <w:r w:rsidRPr="00501A58">
        <w:rPr>
          <w:rFonts w:eastAsia="Arial"/>
          <w:lang w:val="it-IT"/>
        </w:rPr>
        <w:t xml:space="preserve">1. </w:t>
      </w:r>
      <w:r w:rsidRPr="00501A58">
        <w:rPr>
          <w:lang w:val="it-IT"/>
        </w:rPr>
        <w:t>Dhënien në përdorim Qendrës Kombëtare të Aplikimeve për Energjinë të disa mjediseve në katin e parë të ndërtesës së ish-INIMA-s, në administrim të Këshillit të Ministrave, sipas vendndodhjes, të përcaktuar në planimetrinë, që i bashkëlidhet këtij vendimi.</w:t>
      </w:r>
    </w:p>
    <w:p w:rsidR="00632AB7" w:rsidRPr="001D26E5" w:rsidRDefault="00632AB7" w:rsidP="00632AB7">
      <w:pPr>
        <w:pStyle w:val="Paragrafi"/>
        <w:rPr>
          <w:lang w:val="it-IT"/>
        </w:rPr>
      </w:pPr>
      <w:r w:rsidRPr="001D26E5">
        <w:rPr>
          <w:rFonts w:eastAsia="Arial"/>
          <w:lang w:val="it-IT"/>
        </w:rPr>
        <w:t>2. </w:t>
      </w:r>
      <w:r w:rsidRPr="001D26E5">
        <w:rPr>
          <w:lang w:val="it-IT"/>
        </w:rPr>
        <w:t>Ngarkohen Kryeministria dhe Ministria e Ekonomisë, Tregtisë dhe Energjetikës për zbatimin e këtij vendimi. </w:t>
      </w:r>
    </w:p>
    <w:p w:rsidR="00632AB7" w:rsidRPr="001D26E5" w:rsidRDefault="00632AB7" w:rsidP="00632AB7">
      <w:pPr>
        <w:pStyle w:val="Paragrafi"/>
        <w:rPr>
          <w:lang w:val="it-IT"/>
        </w:rPr>
      </w:pPr>
      <w:r w:rsidRPr="001D26E5">
        <w:rPr>
          <w:lang w:val="it-IT"/>
        </w:rPr>
        <w:t>Ky vendim hyn në fuqi menjëherë.</w:t>
      </w:r>
    </w:p>
    <w:p w:rsidR="00632AB7" w:rsidRPr="001D26E5" w:rsidRDefault="00632AB7" w:rsidP="00632AB7">
      <w:pPr>
        <w:pStyle w:val="Paragrafi"/>
        <w:rPr>
          <w:lang w:val="it-IT"/>
        </w:rPr>
      </w:pPr>
      <w:r w:rsidRPr="001D26E5">
        <w:rPr>
          <w:lang w:val="it-IT"/>
        </w:rPr>
        <w:t>  </w:t>
      </w:r>
    </w:p>
    <w:p w:rsidR="00632AB7" w:rsidRPr="00524B7C" w:rsidRDefault="00632AB7" w:rsidP="00632AB7">
      <w:pPr>
        <w:pStyle w:val="Autoriteti"/>
        <w:keepNext w:val="0"/>
      </w:pPr>
      <w:r>
        <w:t>KRYEMINISTR</w:t>
      </w:r>
      <w:r w:rsidRPr="00524B7C">
        <w:t>I</w:t>
      </w:r>
    </w:p>
    <w:p w:rsidR="00632AB7" w:rsidRDefault="00632AB7" w:rsidP="00632AB7">
      <w:pPr>
        <w:pStyle w:val="AutoritetiEmer"/>
      </w:pPr>
      <w:proofErr w:type="spellStart"/>
      <w:proofErr w:type="gramStart"/>
      <w:r w:rsidRPr="00524B7C">
        <w:t>Sali</w:t>
      </w:r>
      <w:proofErr w:type="spellEnd"/>
      <w:r w:rsidRPr="00524B7C">
        <w:t xml:space="preserve">  Berisha</w:t>
      </w:r>
      <w:proofErr w:type="gramEnd"/>
    </w:p>
    <w:p w:rsidR="00632AB7" w:rsidRDefault="00632AB7" w:rsidP="00632AB7">
      <w:pPr>
        <w:pStyle w:val="Paragrafi"/>
      </w:pPr>
    </w:p>
    <w:p w:rsidR="00632AB7" w:rsidRPr="00524B7C" w:rsidRDefault="00632AB7" w:rsidP="00632AB7">
      <w:pPr>
        <w:pStyle w:val="Paragrafi"/>
      </w:pPr>
    </w:p>
    <w:p w:rsidR="00632AB7" w:rsidRDefault="00632AB7" w:rsidP="00632AB7">
      <w:pPr>
        <w:pStyle w:val="Paragrafi"/>
      </w:pPr>
    </w:p>
    <w:p w:rsidR="00632AB7" w:rsidRPr="00524B7C" w:rsidRDefault="00632AB7" w:rsidP="00632AB7">
      <w:pPr>
        <w:pStyle w:val="Paragrafi"/>
        <w:ind w:firstLine="0"/>
      </w:pPr>
    </w:p>
    <w:p w:rsidR="00632AB7" w:rsidRDefault="00632AB7" w:rsidP="00632AB7">
      <w:pPr>
        <w:pStyle w:val="Akti"/>
        <w:keepNext w:val="0"/>
      </w:pPr>
    </w:p>
    <w:p w:rsidR="00632AB7" w:rsidRDefault="00632AB7" w:rsidP="00632AB7">
      <w:pPr>
        <w:pStyle w:val="Akti"/>
        <w:keepNext w:val="0"/>
      </w:pPr>
      <w:r>
        <w:rPr>
          <w:noProof/>
          <w:lang w:val="en-US"/>
        </w:rPr>
        <w:drawing>
          <wp:inline distT="0" distB="0" distL="0" distR="0" wp14:anchorId="7D15F12E" wp14:editId="4DD26B18">
            <wp:extent cx="5600700" cy="84582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B7"/>
    <w:rsid w:val="00632AB7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80DF05-F959-42F7-B149-39FD459E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632AB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632AB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632AB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632AB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632AB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632AB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632AB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632AB7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632AB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632AB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632AB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632AB7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>AKSHI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2024-05-15T08:46:00Z</dcterms:created>
  <dcterms:modified xsi:type="dcterms:W3CDTF">2024-05-15T08:46:00Z</dcterms:modified>
</cp:coreProperties>
</file>