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B13" w:rsidRPr="00DC5939" w:rsidRDefault="00E10B13" w:rsidP="00E10B13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E10B13" w:rsidRPr="00DC5939" w:rsidRDefault="00E10B13" w:rsidP="00E10B13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Nr.924, datë 2.9.2009</w:t>
      </w:r>
    </w:p>
    <w:p w:rsidR="00E10B13" w:rsidRPr="00DC5939" w:rsidRDefault="00E10B13" w:rsidP="00E10B13">
      <w:pPr>
        <w:pStyle w:val="Paragrafi0"/>
        <w:rPr>
          <w:szCs w:val="22"/>
        </w:rPr>
      </w:pPr>
    </w:p>
    <w:p w:rsidR="00E10B13" w:rsidRPr="00DC5939" w:rsidRDefault="00E10B13" w:rsidP="00E10B13">
      <w:pPr>
        <w:pStyle w:val="Titulli0"/>
        <w:keepNext w:val="0"/>
      </w:pPr>
      <w:r w:rsidRPr="00DC5939">
        <w:t>PËR DISA NDRYSHIME NË VENDIMIN NR.1672, DATË 24.12.2</w:t>
      </w:r>
      <w:r>
        <w:t>008, TË KËSHILLIT TË MINISTRAVE</w:t>
      </w:r>
      <w:r w:rsidRPr="00DC5939">
        <w:t xml:space="preserve"> “PËR MIRATIMIN DHE PUBLIKIMIN ZYRTAR TË NOMENKLATURËS SË KOMBINUAR TË MALLRAVE, 2009”</w:t>
      </w:r>
    </w:p>
    <w:p w:rsidR="00E10B13" w:rsidRPr="00DC5939" w:rsidRDefault="00E10B13" w:rsidP="00E10B13">
      <w:pPr>
        <w:pStyle w:val="Paragrafi0"/>
        <w:rPr>
          <w:szCs w:val="22"/>
        </w:rPr>
      </w:pPr>
    </w:p>
    <w:p w:rsidR="00E10B13" w:rsidRPr="00DC5939" w:rsidRDefault="00E10B13" w:rsidP="00E10B13">
      <w:pPr>
        <w:pStyle w:val="BazLigjPropozues"/>
        <w:keepNext w:val="0"/>
      </w:pPr>
      <w:r w:rsidRPr="00DC5939">
        <w:t xml:space="preserve">Në mbështetje të nenit 100 të Kushtetutës dhe të neneve 1 e 2 të </w:t>
      </w:r>
      <w:r>
        <w:t>ligjit nr.9461, datë 21.12.2005</w:t>
      </w:r>
      <w:r w:rsidRPr="00DC5939">
        <w:t xml:space="preserve"> “Për nomenklaturën e mallrave dhe tarifën doganore”, të ndryshuar, me propozimin e Ministrit të Financave, Këshilli i Ministrave</w:t>
      </w:r>
    </w:p>
    <w:p w:rsidR="00E10B13" w:rsidRPr="00DC5939" w:rsidRDefault="00E10B13" w:rsidP="00E10B13">
      <w:pPr>
        <w:pStyle w:val="Paragrafi0"/>
        <w:rPr>
          <w:szCs w:val="22"/>
        </w:rPr>
      </w:pPr>
    </w:p>
    <w:p w:rsidR="00E10B13" w:rsidRPr="00DC5939" w:rsidRDefault="00E10B13" w:rsidP="00E10B13">
      <w:pPr>
        <w:pStyle w:val="VENDOSI0"/>
        <w:keepNext w:val="0"/>
      </w:pPr>
      <w:r w:rsidRPr="00DC5939">
        <w:t>VENDOSI:</w:t>
      </w:r>
    </w:p>
    <w:p w:rsidR="00E10B13" w:rsidRPr="00DC5939" w:rsidRDefault="00E10B13" w:rsidP="00E10B13">
      <w:pPr>
        <w:pStyle w:val="Paragrafi0"/>
        <w:rPr>
          <w:szCs w:val="22"/>
        </w:rPr>
      </w:pPr>
    </w:p>
    <w:p w:rsidR="00E10B13" w:rsidRPr="00DC5939" w:rsidRDefault="00E10B13" w:rsidP="00E10B13">
      <w:pPr>
        <w:pStyle w:val="Paragrafi0"/>
        <w:rPr>
          <w:szCs w:val="22"/>
        </w:rPr>
      </w:pPr>
      <w:r w:rsidRPr="00DC5939">
        <w:rPr>
          <w:szCs w:val="22"/>
        </w:rPr>
        <w:t>Në kapitullin 84 të seksionit XVI të tekstit të Nomenklaturës së Kombinuar të Mallrave, 2009, që i bashkëlidhet vendimit nr.1672, datë 24.12.2009 të Këshillit të Ministrave, bëhen këto ndryshime:</w:t>
      </w:r>
    </w:p>
    <w:p w:rsidR="00E10B13" w:rsidRDefault="00E10B13" w:rsidP="00E10B13">
      <w:pPr>
        <w:pStyle w:val="Paragrafi0"/>
        <w:rPr>
          <w:szCs w:val="22"/>
        </w:rPr>
      </w:pPr>
      <w:r w:rsidRPr="00DC5939">
        <w:rPr>
          <w:szCs w:val="22"/>
        </w:rPr>
        <w:t>1. Përshkrimi i kodit tarifor të sistemit të harmonizuar 8418 30 ndryshohet, si më poshtë vijon:</w:t>
      </w:r>
    </w:p>
    <w:p w:rsidR="00E10B13" w:rsidRDefault="00E10B13" w:rsidP="00E10B13">
      <w:pPr>
        <w:pStyle w:val="Paragrafi0"/>
        <w:rPr>
          <w:szCs w:val="22"/>
        </w:rPr>
      </w:pPr>
      <w:r w:rsidRPr="00DC5939">
        <w:rPr>
          <w:szCs w:val="22"/>
        </w:rPr>
        <w:t xml:space="preserve">“8418 30 “Ngrirës të tipit pingul (me hapje nga lart), </w:t>
      </w:r>
      <w:r>
        <w:rPr>
          <w:szCs w:val="22"/>
        </w:rPr>
        <w:t xml:space="preserve"> </w:t>
      </w:r>
      <w:r w:rsidRPr="00DC5939">
        <w:rPr>
          <w:szCs w:val="22"/>
        </w:rPr>
        <w:t>që nuk e kalojnë një kapacitet prej 800 1”; </w:t>
      </w:r>
    </w:p>
    <w:p w:rsidR="00E10B13" w:rsidRDefault="00E10B13" w:rsidP="00E10B13">
      <w:pPr>
        <w:pStyle w:val="Paragrafi0"/>
        <w:rPr>
          <w:szCs w:val="22"/>
        </w:rPr>
      </w:pPr>
      <w:r w:rsidRPr="00DC5939">
        <w:rPr>
          <w:szCs w:val="22"/>
        </w:rPr>
        <w:t>2. Përshkrimi i kodit tarifor të sistemit të harmonizuar 8418 40 ndryshohet, si më poshtë vijon: </w:t>
      </w:r>
    </w:p>
    <w:p w:rsidR="00E10B13" w:rsidRPr="00DC5939" w:rsidRDefault="00E10B13" w:rsidP="00E10B13">
      <w:pPr>
        <w:pStyle w:val="Paragrafi0"/>
        <w:rPr>
          <w:szCs w:val="22"/>
        </w:rPr>
      </w:pPr>
      <w:r w:rsidRPr="00DC5939">
        <w:rPr>
          <w:szCs w:val="22"/>
        </w:rPr>
        <w:t xml:space="preserve">“8418 40 </w:t>
      </w:r>
      <w:r>
        <w:rPr>
          <w:szCs w:val="22"/>
        </w:rPr>
        <w:t xml:space="preserve"> </w:t>
      </w:r>
      <w:r w:rsidRPr="00DC5939">
        <w:rPr>
          <w:szCs w:val="22"/>
        </w:rPr>
        <w:t xml:space="preserve">“Ngrirës të tipit dollap (me hapje ballore), </w:t>
      </w:r>
      <w:r>
        <w:rPr>
          <w:szCs w:val="22"/>
        </w:rPr>
        <w:t xml:space="preserve"> </w:t>
      </w:r>
      <w:r w:rsidRPr="00DC5939">
        <w:rPr>
          <w:szCs w:val="22"/>
        </w:rPr>
        <w:t>që nuk e kalojnë një kapacitet prej 900 1”.</w:t>
      </w:r>
    </w:p>
    <w:p w:rsidR="00E10B13" w:rsidRPr="00DC5939" w:rsidRDefault="00E10B13" w:rsidP="00E10B13">
      <w:pPr>
        <w:pStyle w:val="Paragrafi0"/>
        <w:rPr>
          <w:szCs w:val="22"/>
        </w:rPr>
      </w:pPr>
      <w:r w:rsidRPr="00DC5939">
        <w:rPr>
          <w:szCs w:val="22"/>
        </w:rPr>
        <w:t>Ky vendim hyn në fuqi menjëherë dhe botohet në Fletoren Zyrtare.</w:t>
      </w:r>
    </w:p>
    <w:p w:rsidR="00E10B13" w:rsidRPr="00DC5939" w:rsidRDefault="00E10B13" w:rsidP="00E10B13">
      <w:pPr>
        <w:pStyle w:val="Paragrafi0"/>
        <w:rPr>
          <w:szCs w:val="22"/>
        </w:rPr>
      </w:pPr>
    </w:p>
    <w:p w:rsidR="00E10B13" w:rsidRPr="00DC5939" w:rsidRDefault="00E10B13" w:rsidP="00E10B13">
      <w:pPr>
        <w:pStyle w:val="Autoriteti"/>
        <w:keepNext w:val="0"/>
      </w:pPr>
      <w:r w:rsidRPr="00DC5939">
        <w:t>Kryeministri</w:t>
      </w:r>
    </w:p>
    <w:p w:rsidR="00E10B13" w:rsidRPr="00DC5939" w:rsidRDefault="00E10B13" w:rsidP="00E10B13">
      <w:pPr>
        <w:pStyle w:val="AutoritetiEmer"/>
      </w:pPr>
      <w:r w:rsidRPr="00DC5939">
        <w:t>Sali Berisha</w:t>
      </w:r>
    </w:p>
    <w:sectPr w:rsidR="00E10B13" w:rsidRPr="00DC5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0B13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4B4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B13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4095A2-B426-47BE-AF01-4A1DFACA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E10B1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