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9FF" w:rsidRDefault="00EA59FF" w:rsidP="00EA59FF">
      <w:pPr>
        <w:pStyle w:val="Akti"/>
        <w:keepNext w:val="0"/>
      </w:pPr>
      <w:bookmarkStart w:id="0" w:name="_GoBack"/>
      <w:bookmarkEnd w:id="0"/>
      <w:r>
        <w:t>Vendim</w:t>
      </w:r>
    </w:p>
    <w:p w:rsidR="00EA59FF" w:rsidRDefault="00EA59FF" w:rsidP="00EA59FF">
      <w:pPr>
        <w:pStyle w:val="NumriData"/>
        <w:keepNext w:val="0"/>
      </w:pPr>
      <w:r>
        <w:t>Nr.1057, datë 30.9.2009</w:t>
      </w:r>
    </w:p>
    <w:p w:rsidR="00EA59FF" w:rsidRDefault="00EA59FF" w:rsidP="00EA59FF">
      <w:pPr>
        <w:pStyle w:val="Paragrafi0"/>
      </w:pPr>
    </w:p>
    <w:p w:rsidR="00EA59FF" w:rsidRDefault="00EA59FF" w:rsidP="00EA59FF">
      <w:pPr>
        <w:pStyle w:val="Titulli0"/>
        <w:keepNext w:val="0"/>
      </w:pPr>
      <w:r>
        <w:t xml:space="preserve">Për përcaktimin e kompetencave të ministrit të shtetit për reformat dhe marrëdhëniet me kuvendin në fushën </w:t>
      </w:r>
    </w:p>
    <w:p w:rsidR="00EA59FF" w:rsidRDefault="00EA59FF" w:rsidP="00EA59FF">
      <w:pPr>
        <w:pStyle w:val="Titulli0"/>
        <w:keepNext w:val="0"/>
      </w:pPr>
      <w:smartTag w:uri="urn:schemas-microsoft-com:office:smarttags" w:element="place">
        <w:r>
          <w:t>e komunikimeve</w:t>
        </w:r>
      </w:smartTag>
      <w:r>
        <w:t xml:space="preserve"> elektronike</w:t>
      </w:r>
    </w:p>
    <w:p w:rsidR="00EA59FF" w:rsidRDefault="00EA59FF" w:rsidP="00EA59FF">
      <w:pPr>
        <w:pStyle w:val="Paragrafi0"/>
      </w:pPr>
    </w:p>
    <w:p w:rsidR="00EA59FF" w:rsidRDefault="00EA59FF" w:rsidP="00EA59FF">
      <w:pPr>
        <w:pStyle w:val="Paragrafi0"/>
      </w:pPr>
      <w:r>
        <w:t>Në mbështetje të nenit 100 të Kushtetutës dhe të pikës 2 të nenit 7 të ligjit nr.9000, datë 30.1.2003 “Për organizimin dhe funksionimin e Këshillit të Ministrave”, me propozimin e Kryeministrit, Këshilli i Ministrave</w:t>
      </w:r>
    </w:p>
    <w:p w:rsidR="00EA59FF" w:rsidRDefault="00EA59FF" w:rsidP="00EA59FF">
      <w:pPr>
        <w:pStyle w:val="Paragrafi0"/>
      </w:pPr>
    </w:p>
    <w:p w:rsidR="00EA59FF" w:rsidRDefault="00EA59FF" w:rsidP="00EA59FF">
      <w:pPr>
        <w:pStyle w:val="VENDOSI0"/>
        <w:keepNext w:val="0"/>
      </w:pPr>
      <w:r>
        <w:t>Vendosi:</w:t>
      </w:r>
    </w:p>
    <w:p w:rsidR="00EA59FF" w:rsidRDefault="00EA59FF" w:rsidP="00EA59FF">
      <w:pPr>
        <w:pStyle w:val="Paragrafi0"/>
      </w:pPr>
    </w:p>
    <w:p w:rsidR="00EA59FF" w:rsidRDefault="00EA59FF" w:rsidP="00EA59FF">
      <w:pPr>
        <w:pStyle w:val="Paragrafi0"/>
      </w:pPr>
      <w:r>
        <w:t>Ushtrimin nga Ministri i Shtetit për Reformat dhe Marrëdhëniet me Kuvendin të kompetencave të ministrit përgjegjës në fushën e komunikimeve elektronike dhe postare, sipas përcaktimeve të bëra në ligjin nr.9918, datë 19.5.2008 “Për komunikimet elektronike në Republikën e Shqipërisë”.</w:t>
      </w:r>
    </w:p>
    <w:p w:rsidR="00EA59FF" w:rsidRDefault="00EA59FF" w:rsidP="00EA59FF">
      <w:pPr>
        <w:pStyle w:val="Paragrafi0"/>
      </w:pPr>
      <w:r>
        <w:t>Ky vendim hyn në fuqi menjëherë dhe botohet në Fletoren Zyrtare.</w:t>
      </w:r>
    </w:p>
    <w:p w:rsidR="00EA59FF" w:rsidRDefault="00EA59FF" w:rsidP="00EA59FF">
      <w:pPr>
        <w:pStyle w:val="Paragrafi0"/>
      </w:pPr>
    </w:p>
    <w:p w:rsidR="00EA59FF" w:rsidRDefault="00EA59FF" w:rsidP="00EA59FF">
      <w:pPr>
        <w:pStyle w:val="Autoriteti"/>
        <w:keepNext w:val="0"/>
      </w:pPr>
      <w:r>
        <w:t>Kryeministri</w:t>
      </w:r>
    </w:p>
    <w:p w:rsidR="00EA59FF" w:rsidRDefault="00EA59FF" w:rsidP="00EA59FF">
      <w:pPr>
        <w:pStyle w:val="AutoritetiEmer"/>
      </w:pPr>
      <w:r>
        <w:t>Sali Berisha</w:t>
      </w:r>
    </w:p>
    <w:sectPr w:rsidR="00EA59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59FF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68FF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59FF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52C590-59AE-4CB7-B3FA-8ED54045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EA59F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EA59F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