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29F5" w:rsidRPr="00050253" w:rsidRDefault="000029F5" w:rsidP="000029F5">
      <w:pPr>
        <w:pStyle w:val="Akti"/>
        <w:keepNext w:val="0"/>
        <w:rPr>
          <w:rFonts w:ascii="Garamond" w:hAnsi="Garamond"/>
          <w:sz w:val="24"/>
          <w:szCs w:val="24"/>
        </w:rPr>
      </w:pPr>
      <w:bookmarkStart w:id="0" w:name="_GoBack"/>
      <w:r w:rsidRPr="00050253">
        <w:rPr>
          <w:rFonts w:ascii="Garamond" w:hAnsi="Garamond"/>
          <w:sz w:val="24"/>
          <w:szCs w:val="24"/>
        </w:rPr>
        <w:t>Vendim</w:t>
      </w:r>
    </w:p>
    <w:p w:rsidR="000029F5" w:rsidRPr="00050253" w:rsidRDefault="000029F5" w:rsidP="000029F5">
      <w:pPr>
        <w:pStyle w:val="NumriData"/>
        <w:keepNext w:val="0"/>
        <w:rPr>
          <w:rFonts w:ascii="Garamond" w:hAnsi="Garamond"/>
          <w:sz w:val="24"/>
          <w:szCs w:val="24"/>
        </w:rPr>
      </w:pPr>
      <w:r w:rsidRPr="00050253">
        <w:rPr>
          <w:rFonts w:ascii="Garamond" w:hAnsi="Garamond"/>
          <w:sz w:val="24"/>
          <w:szCs w:val="24"/>
        </w:rPr>
        <w:t>Nr.954, datë 30.9.2009</w:t>
      </w:r>
    </w:p>
    <w:p w:rsidR="000029F5" w:rsidRPr="00050253" w:rsidRDefault="000029F5" w:rsidP="000029F5">
      <w:pPr>
        <w:pStyle w:val="Paragrafi0"/>
        <w:rPr>
          <w:rFonts w:ascii="Garamond" w:hAnsi="Garamond"/>
          <w:sz w:val="24"/>
          <w:szCs w:val="24"/>
        </w:rPr>
      </w:pPr>
    </w:p>
    <w:p w:rsidR="000029F5" w:rsidRPr="00050253" w:rsidRDefault="000029F5" w:rsidP="000029F5">
      <w:pPr>
        <w:pStyle w:val="Titulli0"/>
        <w:keepNext w:val="0"/>
        <w:rPr>
          <w:rFonts w:ascii="Garamond" w:hAnsi="Garamond"/>
          <w:sz w:val="24"/>
          <w:szCs w:val="24"/>
        </w:rPr>
      </w:pPr>
      <w:r w:rsidRPr="00050253">
        <w:rPr>
          <w:rFonts w:ascii="Garamond" w:hAnsi="Garamond"/>
          <w:sz w:val="24"/>
          <w:szCs w:val="24"/>
        </w:rPr>
        <w:t>Për organizimin, strukturën, funksionimin e qendrës ndërinstitucionale operacionale detare (QNOD) dhe bashkëveprimin me institucionet shtetërore, që kanë interesa në det</w:t>
      </w:r>
    </w:p>
    <w:p w:rsidR="000F0756" w:rsidRPr="00050253" w:rsidRDefault="000F0756" w:rsidP="000F0756">
      <w:pPr>
        <w:jc w:val="center"/>
        <w:rPr>
          <w:rFonts w:ascii="Garamond" w:hAnsi="Garamond"/>
          <w:i/>
          <w:lang w:val="en-GB"/>
        </w:rPr>
      </w:pPr>
      <w:r w:rsidRPr="00050253">
        <w:rPr>
          <w:rFonts w:ascii="Garamond" w:hAnsi="Garamond"/>
          <w:i/>
          <w:lang w:val="en-GB"/>
        </w:rPr>
        <w:t>(Ndryshuar me VKM nr. 1125, datë 13.11.2009</w:t>
      </w:r>
      <w:r w:rsidR="00650435" w:rsidRPr="00050253">
        <w:rPr>
          <w:rFonts w:ascii="Garamond" w:hAnsi="Garamond"/>
          <w:i/>
          <w:lang w:val="en-GB"/>
        </w:rPr>
        <w:t>; nr. 153, datë 3.3.2010</w:t>
      </w:r>
      <w:r w:rsidRPr="00050253">
        <w:rPr>
          <w:rFonts w:ascii="Garamond" w:hAnsi="Garamond"/>
          <w:i/>
          <w:lang w:val="en-GB"/>
        </w:rPr>
        <w:t>)</w:t>
      </w:r>
    </w:p>
    <w:p w:rsidR="000F0756" w:rsidRPr="00050253" w:rsidRDefault="000F0756" w:rsidP="000F0756">
      <w:pPr>
        <w:jc w:val="right"/>
        <w:rPr>
          <w:rFonts w:ascii="Garamond" w:hAnsi="Garamond"/>
          <w:i/>
          <w:lang w:val="en-GB"/>
        </w:rPr>
      </w:pPr>
      <w:r w:rsidRPr="00050253">
        <w:rPr>
          <w:rFonts w:ascii="Garamond" w:hAnsi="Garamond"/>
          <w:i/>
          <w:lang w:val="en-GB"/>
        </w:rPr>
        <w:t>(i përditësuar)</w:t>
      </w:r>
    </w:p>
    <w:p w:rsidR="000029F5" w:rsidRPr="00050253" w:rsidRDefault="000029F5" w:rsidP="000029F5">
      <w:pPr>
        <w:pStyle w:val="Paragrafi0"/>
        <w:rPr>
          <w:rFonts w:ascii="Garamond" w:hAnsi="Garamond"/>
          <w:sz w:val="24"/>
          <w:szCs w:val="24"/>
        </w:rPr>
      </w:pPr>
    </w:p>
    <w:p w:rsidR="000029F5" w:rsidRPr="00050253" w:rsidRDefault="000029F5" w:rsidP="000029F5">
      <w:pPr>
        <w:pStyle w:val="BazLigjPropozues"/>
        <w:keepNext w:val="0"/>
        <w:rPr>
          <w:rFonts w:ascii="Garamond" w:hAnsi="Garamond"/>
          <w:sz w:val="24"/>
          <w:szCs w:val="24"/>
        </w:rPr>
      </w:pPr>
      <w:r w:rsidRPr="00050253">
        <w:rPr>
          <w:rFonts w:ascii="Garamond" w:hAnsi="Garamond"/>
          <w:sz w:val="24"/>
          <w:szCs w:val="24"/>
        </w:rPr>
        <w:t>Në mbështetje të nenit 100 të Kushtetutës, të nenit 32 të ligjit nr.9251, datë 8.7.2004 “Kodi Detar i Republikës së Shqipërisë”, të neneve 3, pika 3, e 4/1, pika 3, të ligjit nr.8875, datë 4.4.2002 “Për Rojën Bregdetare Shqiptare”, të ndryshuar, dhe të neneve 6, 29 e 41 të ligjit nr.9861, datë 24.1.2008 “Për kontrollin dhe mbikëqyrjen e kufirit shtetëror”, me propozimin e Ministrit të Mbrojtjes dhe të Ministrit të Brendshëm, Këshilli i Ministrave</w:t>
      </w:r>
    </w:p>
    <w:p w:rsidR="000029F5" w:rsidRPr="00050253" w:rsidRDefault="000029F5" w:rsidP="000029F5">
      <w:pPr>
        <w:pStyle w:val="Paragrafi0"/>
        <w:rPr>
          <w:rFonts w:ascii="Garamond" w:hAnsi="Garamond"/>
          <w:sz w:val="24"/>
          <w:szCs w:val="24"/>
        </w:rPr>
      </w:pPr>
    </w:p>
    <w:p w:rsidR="000029F5" w:rsidRPr="00050253" w:rsidRDefault="000029F5" w:rsidP="000029F5">
      <w:pPr>
        <w:pStyle w:val="VENDOSI0"/>
        <w:keepNext w:val="0"/>
        <w:rPr>
          <w:rFonts w:ascii="Garamond" w:hAnsi="Garamond"/>
          <w:sz w:val="24"/>
          <w:szCs w:val="24"/>
        </w:rPr>
      </w:pPr>
      <w:r w:rsidRPr="00050253">
        <w:rPr>
          <w:rFonts w:ascii="Garamond" w:hAnsi="Garamond"/>
          <w:sz w:val="24"/>
          <w:szCs w:val="24"/>
        </w:rPr>
        <w:t>Vendosi:</w:t>
      </w:r>
    </w:p>
    <w:p w:rsidR="000029F5" w:rsidRPr="00050253" w:rsidRDefault="000029F5" w:rsidP="000029F5">
      <w:pPr>
        <w:pStyle w:val="Paragrafi0"/>
        <w:rPr>
          <w:rFonts w:ascii="Garamond" w:hAnsi="Garamond"/>
          <w:sz w:val="24"/>
          <w:szCs w:val="24"/>
        </w:rPr>
      </w:pPr>
    </w:p>
    <w:p w:rsidR="000029F5" w:rsidRPr="00050253" w:rsidRDefault="000029F5" w:rsidP="000029F5">
      <w:pPr>
        <w:pStyle w:val="Paragrafi0"/>
        <w:rPr>
          <w:rFonts w:ascii="Garamond" w:hAnsi="Garamond"/>
          <w:sz w:val="24"/>
          <w:szCs w:val="24"/>
        </w:rPr>
      </w:pPr>
      <w:r w:rsidRPr="00050253">
        <w:rPr>
          <w:rFonts w:ascii="Garamond" w:hAnsi="Garamond"/>
          <w:sz w:val="24"/>
          <w:szCs w:val="24"/>
        </w:rPr>
        <w:t>I. Përkufizime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Në kuptim të këtij vendimi, me termat e mëposhtëm nënkuptohen:</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a) “Mjet detar”, një anije patrulluese, anije ndihmuese, mjet i shpejtë lundrues etj., që drejtohet nga një ekuipazh i stërvitur dhe i pajisur me pajisjet e përshtatshme për kryerjen e operacioneve detare.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b) “Komandant në terren”, personi që kontrollon drejtpërdrejt mjetet detare, të përfshira në një operacion të veçantë dhe që drejton, nga pikëpamja taktike, operacionin në terren, në drejtimin e oficerit të shërbimit të QNOD-së.</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c) “Pavarësia operacionale e QNOD-së”, autoriteti i kësaj qendre për të marrë vendime dhe për të komanduar gjatë operacioneve detare.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ç) “Varësi administrative”, eprori që ka përgjegjësinë për t’i siguruar QNOD-së mbështetjen logjistike, mirëmbajtjen e pajisjeve administrative, sigurimin e mjediseve, si dhe personelin e nevojshëm për përmbushjen e detyrave të sipërpërmendura.</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d) “Kontrolli operacional”, autoriteti i ngarkuar për të drejtuar të tjerët në përmbushjen e detyrave të caktuara.</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dh) “Transferimi i autoritetit”, rasti kur e drejta për të drejtuar të tjerët transferohet nga një institucion ose person te një tjetër, si p.sh. transferimi i kontrollit operacional të një situate të dhënë nga autoritetet ushtarake tek autoritetet civile gjatë operacioneve të zbatimit të ligjit.</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II. Misioni dhe detyrat e QNOD-së</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 xml:space="preserve">1. Qendra Ndërinstitucionale Operacionale Detare (QNOD) është një strukturë ndërinstitucionale bashkërenduese, që ka detyrë organizimin, planizimin dhe drejtimin e operacioneve detare, në të gjithë hapësirën detare, në përputhje me legjislacionin detar vendas e ndërkombëtar. QNOD-ja do të funksionojë në përputhje me kuadrin ligjor shqiptar, i cili ngarkon me përgjegjësi kryesore Ministrinë e Brendshme për menaxhimin dhe kontrollin e kufijve shqiptarë, së bashku me ministritë e tjera, të cilat kanë autoritet të ndryshëm në det. QNOD-ja është një platformë bashkëpunimi, ku personeli është në varësi të institucionit përkatës, i caktuar për të garantuar bashkëpunimin dhe bashkërendimin e punës për menaxhimin e hapësirës detare shqiptare.  QNOD-ja bashkërendon operacionet e kërkim-shpëtimit dhe të dhënies së ndihmës në det, si dhe parandalon e mbron mjedisin detar nga </w:t>
      </w:r>
      <w:r w:rsidRPr="00050253">
        <w:rPr>
          <w:rFonts w:ascii="Garamond" w:hAnsi="Garamond"/>
          <w:sz w:val="24"/>
          <w:szCs w:val="24"/>
        </w:rPr>
        <w:lastRenderedPageBreak/>
        <w:t>ndotja. QNOD-ja e garanton këtë nëpërmjet bashkërendimit dhe bashkëpunimit efikas me të gjitha institucionet pjesëmarrëse dhe nëpërmjet bashkërendimit të të gjitha burimeve të disponueshme, si mjetet detare, ajrore e tokësore, sistemet, personelin etj. QNOD-ja bashkërendon planin e mbështetjes me mjete detare dhe burime të tjera, në dispozicion të të gjitha institucioneve pjesëmarrëse, dhe përgatit rekomandimet e nevojshme për trajnimin profesional, kualifikimet dhe arritjen e standardeve të kërkuara nga të gjitha institucionet e përfshira  në operacionet detare.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2. QNOD-ja funksionon edhe si:</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a) qendër komandimi për operacionet detare;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b) qendër raportimi dhe informacioni;</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c) qendër kombëtare për kërkimin dhe shpëtimin në det;</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ç) qendër për shkëmbim informacioni me strukturat partnere.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3. QNOD-ja, si qendër komandimi operacional detar, nënkupton:</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a) drejtimin e të gjitha mjeteve detare, të përfshira në operacionet e kësaj qendre;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b) bashkërendimin e punës për planifikimin e përdorimit të integruar vjetor të mjeteve dhe të infrastrukturës përkatëse.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4. QNOD-ja, si qendër raportimi dhe informacioni, nënkupton:</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a) grumbullimin e informacionit për situatat detare, përsa i përket hapësirës detare shqiptare;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b) Qendra, në përmbushje të misionit të përcaktuar në pikën 1 të kreut II të këtij vendimi, garanton transmetimin efikas të informacionit në Ministrinë e Brendshme. QNOD-ja përpunon dhe transmeton informacionin drejtpërdrejt tek institucionet e tjera përgjegjëse, në varësi të llojit të operacionit, që po kryhet. Transmetimi i informacionit kryhet nga oficerët koordinatorë, të caktuar nga institucionet përkatëse;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c) hartimin e raporteve periodike për institucionet e përfshira;</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ç) përgatitjen e raporteve të përbashkët a të riskut për situatën detare.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5. QNOD-ja, si qendër kombëtare për kërkim-shpëtimin në det (MRCC), nënkupton:</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a) organizimin dhe zbatimin e detyrave, në përputhje me planin kombëtar të kërkim-shpëtimit në det dhe me manualin e kërkim-shpëtimit në det;</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b) bashkërendimin e punës me qendrat e kërkim-shpëtimit të vendeve fqinje.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6. QNOD-ja mund të komandojë edhe mjete detare private, në rastet e operacioneve të kërkim-shpëtimit në det, kur këto mjete vendosen në dispozicion të operacioneve, sipas dispozitave ligjore.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7. Në fillim të çdo viti, për planifikimin dhe përmbushjen e misionit, institucionet pjesëmarrëse në QNOD bëjnë deklarimin vjetor të mjeteve detare, që kanë në inventar, si dhe përditësimin e gatishmërisë teknike dhe të veprimtarisë operacionale të tyre.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III. Organizimi i QNOD-së</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1. Struktura e QNOD-së është sipas shtojcës nr.1, që i bashkëlidhet këtij vendimi.</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2. QNOD-ja ka në përbërje strukturore personel nga të gjitha institucionet, që kanë kompetenca dhe kryejnë detyra në bregdet e në hapësirën detare, sipas nenit 32 të ligjit nr.9251, datë 8.7.2004 “Kodi Detar i Republikës së Shqipërisë”, siç janë:</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 Ministria e Financave (prani 24-orëshe të doganave);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 Ministria e Brendshme (prani 24-orëshe të Policisë së Kufirit dhe Migracionit);</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 Ministria e Mbrojtjes (prani 24-orëshe të Rojës Bregdetare);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 Ministria e Mjedisit, Pyjeve dhe Administrimit të Ujërave (prani 24-orëshe të Inspektoratit të Peshkimit);</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 Ministria e Punëve Publike, Transportit dhe Telekomunikacionit (kapacitet bashkërendues, sipas nevojës);</w:t>
      </w:r>
    </w:p>
    <w:p w:rsidR="000029F5" w:rsidRPr="00050253" w:rsidRDefault="000029F5" w:rsidP="000029F5">
      <w:pPr>
        <w:pStyle w:val="Paragrafi0"/>
        <w:rPr>
          <w:rFonts w:ascii="Garamond" w:hAnsi="Garamond"/>
          <w:smallCaps/>
          <w:sz w:val="24"/>
          <w:szCs w:val="24"/>
        </w:rPr>
      </w:pPr>
      <w:r w:rsidRPr="00050253">
        <w:rPr>
          <w:rFonts w:ascii="Garamond" w:hAnsi="Garamond"/>
          <w:sz w:val="24"/>
          <w:szCs w:val="24"/>
        </w:rPr>
        <w:lastRenderedPageBreak/>
        <w:t>- Ministria e Bujqësisë, Ushqimit dhe Mbrojtjes së Konsumatorit (kapacitet bashkërendues, sipas nevojës)</w:t>
      </w:r>
      <w:r w:rsidRPr="00050253">
        <w:rPr>
          <w:rFonts w:ascii="Garamond" w:hAnsi="Garamond"/>
          <w:smallCaps/>
          <w:sz w:val="24"/>
          <w:szCs w:val="24"/>
        </w:rPr>
        <w:t>;</w:t>
      </w:r>
    </w:p>
    <w:p w:rsidR="000029F5" w:rsidRPr="00050253" w:rsidRDefault="000029F5" w:rsidP="000029F5">
      <w:pPr>
        <w:pStyle w:val="Paragrafi0"/>
        <w:rPr>
          <w:rFonts w:ascii="Garamond" w:hAnsi="Garamond"/>
          <w:sz w:val="24"/>
          <w:szCs w:val="24"/>
        </w:rPr>
      </w:pPr>
      <w:r w:rsidRPr="00050253">
        <w:rPr>
          <w:rFonts w:ascii="Garamond" w:hAnsi="Garamond"/>
          <w:smallCaps/>
          <w:sz w:val="24"/>
          <w:szCs w:val="24"/>
        </w:rPr>
        <w:t xml:space="preserve">- </w:t>
      </w:r>
      <w:r w:rsidRPr="00050253">
        <w:rPr>
          <w:rFonts w:ascii="Garamond" w:hAnsi="Garamond"/>
          <w:sz w:val="24"/>
          <w:szCs w:val="24"/>
        </w:rPr>
        <w:t>Ministria e Turizmit, Kulturës, Rinisë dhe</w:t>
      </w:r>
      <w:r w:rsidRPr="00050253">
        <w:rPr>
          <w:rFonts w:ascii="Garamond" w:hAnsi="Garamond"/>
          <w:smallCaps/>
          <w:sz w:val="24"/>
          <w:szCs w:val="24"/>
        </w:rPr>
        <w:t xml:space="preserve"> </w:t>
      </w:r>
      <w:r w:rsidRPr="00050253">
        <w:rPr>
          <w:rFonts w:ascii="Garamond" w:hAnsi="Garamond"/>
          <w:sz w:val="24"/>
          <w:szCs w:val="24"/>
        </w:rPr>
        <w:t>Sporteve (kapacitet bashkërendues sipas nevojës).</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3. Mjediset e QNOD-së janë në administrim të Ministrisë së Mbrojtjes.</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4. Pagesa e personelit të QNOD-së bëhet nga institucionet përkatëse, që emërojnë këtë personel.</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5. Personat e caktuar në QNOD janë përfaqësues të institucioneve të përfshira sipas nenit 32 të ligjit nr.9251, datë 8.7.2004 “Kodi Detar i Republikës së Shqipërisë”, dhe do të jenë në varësi të institucioneve, që ata përfaqësojnë.</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6. Përbërja e strukturës së QNOD-së është si më poshtë vijon:</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a) Drejtori administrativ;</w:t>
      </w:r>
    </w:p>
    <w:p w:rsidR="000029F5" w:rsidRPr="00050253" w:rsidRDefault="000029F5" w:rsidP="000029F5">
      <w:pPr>
        <w:pStyle w:val="Paragrafi0"/>
        <w:rPr>
          <w:rFonts w:ascii="Garamond" w:hAnsi="Garamond"/>
          <w:i/>
          <w:sz w:val="24"/>
          <w:szCs w:val="24"/>
        </w:rPr>
      </w:pPr>
      <w:r w:rsidRPr="00050253">
        <w:rPr>
          <w:rFonts w:ascii="Garamond" w:hAnsi="Garamond"/>
          <w:i/>
          <w:sz w:val="24"/>
          <w:szCs w:val="24"/>
        </w:rPr>
        <w:t xml:space="preserve">b) </w:t>
      </w:r>
      <w:r w:rsidR="000F0756" w:rsidRPr="00050253">
        <w:rPr>
          <w:rFonts w:ascii="Garamond" w:hAnsi="Garamond"/>
          <w:i/>
          <w:sz w:val="24"/>
          <w:szCs w:val="24"/>
        </w:rPr>
        <w:t>Shfuqizuar</w:t>
      </w:r>
      <w:r w:rsidRPr="00050253">
        <w:rPr>
          <w:rFonts w:ascii="Garamond" w:hAnsi="Garamond"/>
          <w:i/>
          <w:sz w:val="24"/>
          <w:szCs w:val="24"/>
        </w:rPr>
        <w:t>;</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c) Koordinatorët e institucioneve;</w:t>
      </w:r>
    </w:p>
    <w:p w:rsidR="000029F5" w:rsidRPr="00050253" w:rsidRDefault="000029F5" w:rsidP="000029F5">
      <w:pPr>
        <w:pStyle w:val="Paragrafi0"/>
        <w:rPr>
          <w:rFonts w:ascii="Garamond" w:hAnsi="Garamond"/>
          <w:i/>
          <w:sz w:val="24"/>
          <w:szCs w:val="24"/>
        </w:rPr>
      </w:pPr>
      <w:r w:rsidRPr="00050253">
        <w:rPr>
          <w:rFonts w:ascii="Garamond" w:hAnsi="Garamond"/>
          <w:i/>
          <w:sz w:val="24"/>
          <w:szCs w:val="24"/>
        </w:rPr>
        <w:t xml:space="preserve">ç) </w:t>
      </w:r>
      <w:r w:rsidR="000F0756" w:rsidRPr="00050253">
        <w:rPr>
          <w:rFonts w:ascii="Garamond" w:hAnsi="Garamond"/>
          <w:i/>
          <w:sz w:val="24"/>
          <w:szCs w:val="24"/>
        </w:rPr>
        <w:t>Oficerët e shërbimit/Oficerë civilë turni</w:t>
      </w:r>
      <w:r w:rsidRPr="00050253">
        <w:rPr>
          <w:rFonts w:ascii="Garamond" w:hAnsi="Garamond"/>
          <w:i/>
          <w:sz w:val="24"/>
          <w:szCs w:val="24"/>
        </w:rPr>
        <w:t>;</w:t>
      </w:r>
    </w:p>
    <w:p w:rsidR="000029F5" w:rsidRPr="00050253" w:rsidRDefault="000029F5" w:rsidP="000029F5">
      <w:pPr>
        <w:pStyle w:val="Paragrafi0"/>
        <w:rPr>
          <w:rFonts w:ascii="Garamond" w:hAnsi="Garamond"/>
          <w:i/>
          <w:sz w:val="24"/>
          <w:szCs w:val="24"/>
        </w:rPr>
      </w:pPr>
      <w:r w:rsidRPr="00050253">
        <w:rPr>
          <w:rFonts w:ascii="Garamond" w:hAnsi="Garamond"/>
          <w:i/>
          <w:sz w:val="24"/>
          <w:szCs w:val="24"/>
        </w:rPr>
        <w:t xml:space="preserve">d) </w:t>
      </w:r>
      <w:r w:rsidR="000F0756" w:rsidRPr="00050253">
        <w:rPr>
          <w:rFonts w:ascii="Garamond" w:hAnsi="Garamond"/>
          <w:i/>
          <w:sz w:val="24"/>
          <w:szCs w:val="24"/>
        </w:rPr>
        <w:t>Shfuqizuar</w:t>
      </w:r>
      <w:r w:rsidRPr="00050253">
        <w:rPr>
          <w:rFonts w:ascii="Garamond" w:hAnsi="Garamond"/>
          <w:i/>
          <w:sz w:val="24"/>
          <w:szCs w:val="24"/>
        </w:rPr>
        <w:t>;</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dh) Personeli i shërbimit;</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e) Personeli i mbështetjes administrative dhe teknike.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7. Detyrat që kryejnë strukturat e QNOD-së janë si më poshtë vijon:</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 Drejtori administrativ, i cili caktohet nga Ministri i Mbrojtjes, është përgjegjës për përgatitjen e rekomandimeve të buxhetit vjetor, që i paraqiten Ministrisë së Mbrojtjes, për shpenzimet për personelin operacional, për mirëmbajtjen e pajisjeve, për të garantuar zbatimin e procedurave operacionale standarde, të miratuara, si dhe transmetimin e raporteve, të miratuara dhe të nevojshme. Ai ka detyrë të informojë rregullisht Ministrinë e Mbrojtjes dhe ministritë e tjera pjesëmarrëse për problemet ose çështjet, që ndikojnë në mirëfunksionimin e QNOD-së.</w:t>
      </w:r>
    </w:p>
    <w:p w:rsidR="000029F5" w:rsidRPr="00050253" w:rsidRDefault="000029F5" w:rsidP="000029F5">
      <w:pPr>
        <w:pStyle w:val="Paragrafi0"/>
        <w:rPr>
          <w:rFonts w:ascii="Garamond" w:hAnsi="Garamond"/>
          <w:i/>
          <w:sz w:val="24"/>
          <w:szCs w:val="24"/>
        </w:rPr>
      </w:pPr>
      <w:r w:rsidRPr="00050253">
        <w:rPr>
          <w:rFonts w:ascii="Garamond" w:hAnsi="Garamond"/>
          <w:i/>
          <w:sz w:val="24"/>
          <w:szCs w:val="24"/>
        </w:rPr>
        <w:t xml:space="preserve">- </w:t>
      </w:r>
      <w:r w:rsidR="000F0756" w:rsidRPr="00050253">
        <w:rPr>
          <w:rFonts w:ascii="Garamond" w:hAnsi="Garamond"/>
          <w:i/>
          <w:sz w:val="24"/>
          <w:szCs w:val="24"/>
        </w:rPr>
        <w:t xml:space="preserve"> Koordinatorët institucionalë janë përfaqësues të caktuar nga institucionet shtetërore, që marrin pjesë në QNOD, dhe i përfaqësojnë ato gjatë planifikimit të përditshëm dhe afatgjatë operacional. Koordinatorët e caktuar nga institucionet pjesëmarrëse janë përgjegjës për zhvillimin dhe zbatimin e planeve operacionale të QNOD-së, të miratuara bashkërisht, për vlerësimet e riskut, rekomandimet e trajnimit e të planit, sipas vendimeve përkatëse. Çdo institucion pjesëmarrës vendos sipas nevojave për numrin e koordinatorëve në QNOD.</w:t>
      </w:r>
    </w:p>
    <w:p w:rsidR="000029F5" w:rsidRPr="00050253" w:rsidRDefault="000029F5" w:rsidP="000029F5">
      <w:pPr>
        <w:pStyle w:val="Paragrafi0"/>
        <w:rPr>
          <w:rFonts w:ascii="Garamond" w:hAnsi="Garamond"/>
          <w:i/>
          <w:sz w:val="24"/>
          <w:szCs w:val="24"/>
        </w:rPr>
      </w:pPr>
      <w:r w:rsidRPr="00050253">
        <w:rPr>
          <w:rFonts w:ascii="Garamond" w:hAnsi="Garamond"/>
          <w:i/>
          <w:sz w:val="24"/>
          <w:szCs w:val="24"/>
        </w:rPr>
        <w:t xml:space="preserve">- </w:t>
      </w:r>
      <w:r w:rsidR="000F0756" w:rsidRPr="00050253">
        <w:rPr>
          <w:rFonts w:ascii="Garamond" w:hAnsi="Garamond"/>
          <w:i/>
          <w:sz w:val="24"/>
          <w:szCs w:val="24"/>
        </w:rPr>
        <w:t>Oficerët e shërbimit/oficerët civilë të turnit janë oficerët përgjegjës për personelin, që shërben në sallën operacionale të QNOD-së. Ministria e Mbrojtjes, Ministria e Brendshme, Ministria e Financave dhe Ministria e Mjedisit, Pyjeve dhe Administrimit të Ujërave do të kenë oficerë shërbimi, 24 orë, për marrjen e vendimeve në QNOD. Secili oficer shërbimi është përgjegjës për drejtimin e operacioneve, kompetencë e ministrisë që përfaqëson. Për sigurimin e kontrollit civil për të gjitha operacionet policore, oficeri i shërbimit, i caktuar nga Ministria e Brendshme në sallën operative të QNOD-së, do të marrë përsipër dhe do të ekzekutojë operacione, që lidhen me detyrat e policisë. Përgjegjësitë dhe bashkërendimi i oficerëve të shërbimit përshkruhen në procedurat operacionale, të miratuara.</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 xml:space="preserve">- </w:t>
      </w:r>
      <w:r w:rsidR="000F0756" w:rsidRPr="00050253">
        <w:rPr>
          <w:rFonts w:ascii="Garamond" w:hAnsi="Garamond"/>
          <w:i/>
          <w:sz w:val="24"/>
          <w:szCs w:val="24"/>
        </w:rPr>
        <w:t>Personeli i operacioneve dhe ai i shërbimit të QNOD-së caktohen nga Ministria e Mbrojtjes dhe do të jenë operatorë të trajnuar radarësh dhe/ose personel për ndërlidhje. Personeli i shërbimit të QNOD-së do të shërbejë me turne shërbimi, për të garantuar se personeli është operativ çdo ditë, gjatë të gjithë ditës.</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 Personeli administrativ dhe ai teknik është personel i caktuar nga Ministria e Mbrojtjes dhe siguron mbarëvajtjen e sistemeve e mirëfunksionimin e pajisjeve të QNOD-së.</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8. QNOD-ja vendoset në mjedise të siguruara nga Ministria e Mbrojtjes. Të gjitha pajisjet e nevojshme për QNOD-në sigurohen po nga Ministria e Mbrojtjes.</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 xml:space="preserve">9. QNOD-ja mbledh informacion nga sistemi i vëzhgimit së hapësirës detare dhe nga </w:t>
      </w:r>
      <w:r w:rsidRPr="00050253">
        <w:rPr>
          <w:rFonts w:ascii="Garamond" w:hAnsi="Garamond"/>
          <w:sz w:val="24"/>
          <w:szCs w:val="24"/>
        </w:rPr>
        <w:lastRenderedPageBreak/>
        <w:t>sensorë të tjerë, pajisje ose mjete detare, të përfshira në operacione për kontrollin e hapësirës detare.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IV.Operacionet e QNOD-së</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1. Operacionet e QNOD-së përcaktohen në manualin e procedurave standarde operacionale, të miratuar nga Ministri i Brendshëm dhe Ministri i Mbrojtjes, pas bashkërendimit me institucionet e tjera pjesëmarrëse. Në të njëjtën mënyrë miratohet edhe plani vjetor operacional i QNOD-së.</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2. QNOD-ja drejton dhe bashkërendon operacionet detare të institucioneve të mëposhtme: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a) Ministrisë së Brendshme: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 Operacionet detare për kontrollin e kufirit dhe të luftës kundër trafikut të paligjshëm.</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ii) Operacionet detare të luftës kundër terrorizmit dhe krimit të organizuar.</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iii) Operacionet detare për detyra të tjera policore.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b) Ministrisë së Mbrojtjes:</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 Operacionet e kërkim-shpëtimit dhe dhënies së ndihmës në det.</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ii) Operacionet detare për kontrollin e legjislacionit për sigurinë hidrolundrimore.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iii) Me kërkesë të strukturave të Policisë së Shtetit dhe atyre doganore siguron mbështetje për misionet e zbatimit të ligjit.</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iv) Kur për veprimet e ndërmarra sipas nënndarjes “ii” më sipër, kërkohen atributet e policisë gjyqësore, vetëm personeli i Rojës Bregdetare apo i Forcës Detare, i cili gëzon këto atribute dhe ka trajnimin e përshtatshëm, mund t’i kryejë këto veprime. Trajnimi i nevojshëm përcaktohet me urdhër të përbashkët të ministrive të përfshira dhe të Prokurorisë së Përgjithshme.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c) Ministrisë së Punëve Publike, Transportit dhe Telekomunikacionit:</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 Operacionet detare për kontrollin e legjislacionit për trafikun detar.</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ii) Hetimin e incidenteve detare.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ç) Ministrisë së Financave: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 Operacionet detare për kontrollin e legjislacionit fiskal dhe doganor.</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d) Ministrisë së Mjedisit, Pyjeve dhe Administrimit të Ujërave: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 Operacionet detare për kontrollin e zbatimit të legjislacionit për peshkimin.</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ii) Operacionet për parandalimin dhe mbrojtjen e mjedisit detar nga ndotja.</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dh) Ministrisë së Turizmit, Kulturës, Rinisë dhe Sporteve: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 Operacionet në mbështetje të sporteve ujore dhe nënujore.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ii) Operacionet në mbështetje të turizmit detar dhe bregdetar.</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3. Procedurat operacionale standarde (POS) përfshijnë çështjet e mëposhtme, por pa u kufizuar në to:</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a) Plani i trajnimit të personelit të QNOD-së;</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b) Proceset e raportimit dhe të menaxhimit të informacionit dhe listat e kontrollit;</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c) Detyrat, përgjegjësitë, masat për bashkërendimin e punës dhe procedurat e funksionimit si qendër kombëtare të shpëtimit detar;</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ç) Proceset dhe mjetet për shkëmbimin e informacionit detar me institucionet shumëkombëshe dhe të huaja;</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d) Proceset për garantimin e kontrollit civil të operacioneve policore detare;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dh) Procedurat për drejtimin e mjeteve detare dhe sistemet e mbështetjes, që marrin pjesë në operacionet detare;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e) Procedurat për përgatitjen e rekomandimeve për institucionet pjesëmarrëse, për trajnimin, shpërndarjen e burimeve dhe projektet e ardhshme të zhvillimit të kapaciteteve;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ë) Detyrat dhe përgjegjësitë e komandantëve në terren;</w:t>
      </w:r>
    </w:p>
    <w:p w:rsidR="000029F5" w:rsidRPr="00050253" w:rsidRDefault="000029F5" w:rsidP="000029F5">
      <w:pPr>
        <w:pStyle w:val="Paragrafi0"/>
        <w:rPr>
          <w:rFonts w:ascii="Garamond" w:hAnsi="Garamond"/>
          <w:sz w:val="24"/>
          <w:szCs w:val="24"/>
        </w:rPr>
      </w:pPr>
      <w:r w:rsidRPr="00050253">
        <w:rPr>
          <w:rFonts w:ascii="Garamond" w:hAnsi="Garamond"/>
          <w:sz w:val="24"/>
          <w:szCs w:val="24"/>
        </w:rPr>
        <w:lastRenderedPageBreak/>
        <w:t>f) Detyrat dhe përgjegjësitë e oficerëve të shërbimit dhe personelit të shërbimit;</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g) Detyrat dhe përgjegjësitë e koordinatorëve të institucioneve;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gj) Proceset për transferimin e autoritetit për incidentet e përmendura në kreun IV të këtij vendimi;</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h) Proceset për bashkërendimin e komandimit e të kontrollit, të komunikimeve dhe çështjeve të menaxhimit të frekuencave;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i) Procedurat e posteve të punës.</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V. Bashkërendimi, planifikimi dhe përgjegjësitë e institucioneve pjesëmarrëse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1. Institucionet e përfshira në QNOD bashkëveprojnë me njëra-tjetrën, për një kontribut maksimal në përmbushje të misionit të qendrës.</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2. Koordinatorët e institucioneve marrin pjesë në planifikimin dhe vendimet, që kanë lidhje me institucionet, që përfaqësojnë, dhe bien dakord bashkërisht dhe garantojnë zbatimin e këtyre planeve.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3. Trajnimi i personelit dhe mbështetja me personel e mjeteve detare, të përfshira në operacionet e kontrollit të hapësirës detare është përgjegjësi e institucionit, që i ka në pronësi këto mjete detare.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4. Sigurimi lundrimor për mjetet detare është përgjegjësi e institucioneve përkatëse.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5. QNOD-ja merr informacion nga sistemi i integruar i vëzhgimit të hapësirës detare, nga mjetet patrulluese në det, si dhe nga infrastruktura të tjera, në dispozicion të institucioneve, të përfshira në këtë qendër.</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6. Institucionet pjesëmarrëse në QNOD bashkëveprojnë ngushtë për trajnimin dhe angazhimin, me qëllim që burimet të përdoren në mënyrë racionale dhe të rritet efektshmëria operacionale detare.</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7. Për çështjet, të cilat nuk rregullohen nga ky vendim, institucionet pjesëmarrëse mbështeten në marrëveshjet përkatëse, të nënshkruara në zbatim të nenit 10 të ligjit nr.8875, datë 4.4.2002 “Për Rojën Bregdetare Shqiptare”, të ndryshuar.</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VI. Të fundit</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1. Ngarkohen Ministria e Mbrojtjes, Ministria e Brendshme, Ministria e Mjedisit, Pyjeve dhe Administrimit të Ujërave, Ministria e Turizmit, Kulturës, Rinisë dhe Sporteve, Ministria e Financave dhe Ministria e Punëve Publike, Transportit dhe Telekomunikacionit për zbatimin e këtij vendimi.</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2. Ngarkohen Ministria e Brendshme dhe Ministria e Mbrojtjes për bashkërendimin e procesit të hartimit të procedurave operacionale standarde brenda 6 muajve nga hyrja në fuqi e këtij vendimi.</w:t>
      </w:r>
    </w:p>
    <w:p w:rsidR="000029F5" w:rsidRPr="00050253" w:rsidRDefault="000029F5" w:rsidP="000029F5">
      <w:pPr>
        <w:pStyle w:val="Paragrafi0"/>
        <w:rPr>
          <w:rFonts w:ascii="Garamond" w:hAnsi="Garamond"/>
          <w:sz w:val="24"/>
          <w:szCs w:val="24"/>
        </w:rPr>
      </w:pPr>
      <w:r w:rsidRPr="00050253">
        <w:rPr>
          <w:rFonts w:ascii="Garamond" w:hAnsi="Garamond"/>
          <w:sz w:val="24"/>
          <w:szCs w:val="24"/>
        </w:rPr>
        <w:t>Ky vendim hyn në fuqi pas botimit në Fletoren Zyrtare.</w:t>
      </w:r>
    </w:p>
    <w:p w:rsidR="000029F5" w:rsidRPr="00050253" w:rsidRDefault="000029F5" w:rsidP="000029F5">
      <w:pPr>
        <w:pStyle w:val="Paragrafi0"/>
        <w:rPr>
          <w:rFonts w:ascii="Garamond" w:hAnsi="Garamond"/>
          <w:sz w:val="24"/>
          <w:szCs w:val="24"/>
        </w:rPr>
      </w:pPr>
    </w:p>
    <w:p w:rsidR="000029F5" w:rsidRPr="00050253" w:rsidRDefault="000029F5" w:rsidP="000029F5">
      <w:pPr>
        <w:pStyle w:val="Autoriteti"/>
        <w:keepNext w:val="0"/>
        <w:rPr>
          <w:rFonts w:ascii="Garamond" w:hAnsi="Garamond"/>
          <w:sz w:val="24"/>
          <w:szCs w:val="24"/>
        </w:rPr>
      </w:pPr>
      <w:r w:rsidRPr="00050253">
        <w:rPr>
          <w:rFonts w:ascii="Garamond" w:hAnsi="Garamond"/>
          <w:sz w:val="24"/>
          <w:szCs w:val="24"/>
        </w:rPr>
        <w:t>Kryeministri</w:t>
      </w:r>
    </w:p>
    <w:p w:rsidR="000029F5" w:rsidRPr="00050253" w:rsidRDefault="000029F5" w:rsidP="000029F5">
      <w:pPr>
        <w:pStyle w:val="AutoritetiEmer"/>
        <w:rPr>
          <w:rFonts w:ascii="Garamond" w:hAnsi="Garamond"/>
          <w:sz w:val="24"/>
          <w:szCs w:val="24"/>
        </w:rPr>
      </w:pPr>
      <w:r w:rsidRPr="00050253">
        <w:rPr>
          <w:rFonts w:ascii="Garamond" w:hAnsi="Garamond"/>
          <w:sz w:val="24"/>
          <w:szCs w:val="24"/>
        </w:rPr>
        <w:t>Sali Berisha</w:t>
      </w:r>
    </w:p>
    <w:p w:rsidR="00650435" w:rsidRPr="00050253" w:rsidRDefault="00650435" w:rsidP="00650435">
      <w:pPr>
        <w:rPr>
          <w:rFonts w:ascii="Garamond" w:hAnsi="Garamond"/>
          <w:lang w:val="en-GB"/>
        </w:rPr>
      </w:pPr>
    </w:p>
    <w:p w:rsidR="00650435" w:rsidRPr="00050253" w:rsidRDefault="00650435" w:rsidP="00650435">
      <w:pPr>
        <w:rPr>
          <w:rFonts w:ascii="Garamond" w:hAnsi="Garamond"/>
          <w:lang w:val="en-GB"/>
        </w:rPr>
      </w:pPr>
    </w:p>
    <w:p w:rsidR="00650435" w:rsidRPr="00050253" w:rsidRDefault="00650435" w:rsidP="00650435">
      <w:pPr>
        <w:rPr>
          <w:rFonts w:ascii="Garamond" w:hAnsi="Garamond"/>
          <w:lang w:val="en-GB"/>
        </w:rPr>
      </w:pPr>
    </w:p>
    <w:p w:rsidR="00650435" w:rsidRPr="00050253" w:rsidRDefault="00650435" w:rsidP="00650435">
      <w:pPr>
        <w:rPr>
          <w:rFonts w:ascii="Garamond" w:hAnsi="Garamond"/>
          <w:lang w:val="en-GB"/>
        </w:rPr>
      </w:pPr>
      <w:r w:rsidRPr="00050253">
        <w:rPr>
          <w:rFonts w:ascii="Garamond" w:hAnsi="Garamond"/>
          <w:lang w:val="en-GB"/>
        </w:rPr>
        <w:t>Shtojca nr. 1</w:t>
      </w:r>
    </w:p>
    <w:p w:rsidR="00650435" w:rsidRPr="00050253" w:rsidRDefault="00650435" w:rsidP="00650435">
      <w:pPr>
        <w:jc w:val="center"/>
        <w:rPr>
          <w:rFonts w:ascii="Garamond" w:hAnsi="Garamond"/>
          <w:i/>
          <w:lang w:val="en-GB"/>
        </w:rPr>
      </w:pPr>
      <w:r w:rsidRPr="00050253">
        <w:rPr>
          <w:rFonts w:ascii="Garamond" w:hAnsi="Garamond"/>
          <w:i/>
          <w:lang w:val="en-GB"/>
        </w:rPr>
        <w:t>(Zëvendësuar me VKM nr. 153, datë 3.3.2010)</w:t>
      </w:r>
    </w:p>
    <w:p w:rsidR="00650435" w:rsidRPr="00050253" w:rsidRDefault="00650435" w:rsidP="00650435">
      <w:pPr>
        <w:jc w:val="center"/>
        <w:rPr>
          <w:rFonts w:ascii="Garamond" w:hAnsi="Garamond"/>
          <w:i/>
          <w:lang w:val="en-GB"/>
        </w:rPr>
      </w:pPr>
      <w:r w:rsidRPr="00050253">
        <w:rPr>
          <w:rFonts w:ascii="Garamond" w:hAnsi="Garamond"/>
          <w:noProof/>
        </w:rPr>
        <w:lastRenderedPageBreak/>
        <w:drawing>
          <wp:inline distT="0" distB="0" distL="0" distR="0" wp14:anchorId="0745D75A" wp14:editId="1D6345C7">
            <wp:extent cx="5372100" cy="8458200"/>
            <wp:effectExtent l="0" t="0" r="0" b="0"/>
            <wp:docPr id="2" name="Picture 2" descr="foto-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1-2"/>
                    <pic:cNvPicPr>
                      <a:picLocks noChangeAspect="1" noChangeArrowheads="1"/>
                    </pic:cNvPicPr>
                  </pic:nvPicPr>
                  <pic:blipFill>
                    <a:blip r:embed="rId5">
                      <a:extLst>
                        <a:ext uri="{28A0092B-C50C-407E-A947-70E740481C1C}">
                          <a14:useLocalDpi xmlns:a14="http://schemas.microsoft.com/office/drawing/2010/main" val="0"/>
                        </a:ext>
                      </a:extLst>
                    </a:blip>
                    <a:srcRect l="5788" t="6944" b="11633"/>
                    <a:stretch>
                      <a:fillRect/>
                    </a:stretch>
                  </pic:blipFill>
                  <pic:spPr bwMode="auto">
                    <a:xfrm>
                      <a:off x="0" y="0"/>
                      <a:ext cx="5372100" cy="8458200"/>
                    </a:xfrm>
                    <a:prstGeom prst="rect">
                      <a:avLst/>
                    </a:prstGeom>
                    <a:noFill/>
                    <a:ln>
                      <a:noFill/>
                    </a:ln>
                  </pic:spPr>
                </pic:pic>
              </a:graphicData>
            </a:graphic>
          </wp:inline>
        </w:drawing>
      </w:r>
      <w:bookmarkEnd w:id="0"/>
    </w:p>
    <w:sectPr w:rsidR="00650435" w:rsidRPr="0005025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4540C3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DD2B1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AA4CD7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80C8F2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BFE29D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A8E68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520C0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9C608C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22A0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1AC17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360B6C"/>
    <w:multiLevelType w:val="hybridMultilevel"/>
    <w:tmpl w:val="24ECF48A"/>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5D267DE"/>
    <w:multiLevelType w:val="hybridMultilevel"/>
    <w:tmpl w:val="D8829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B2B9B"/>
    <w:multiLevelType w:val="hybridMultilevel"/>
    <w:tmpl w:val="1116D3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3874386"/>
    <w:multiLevelType w:val="hybridMultilevel"/>
    <w:tmpl w:val="C99277E6"/>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8423E96"/>
    <w:multiLevelType w:val="multilevel"/>
    <w:tmpl w:val="8CEE1350"/>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1C9D6B6E"/>
    <w:multiLevelType w:val="multilevel"/>
    <w:tmpl w:val="48BA5AE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1DFC0B0E"/>
    <w:multiLevelType w:val="hybridMultilevel"/>
    <w:tmpl w:val="7B6E931C"/>
    <w:lvl w:ilvl="0" w:tplc="F47E3D26">
      <w:numFmt w:val="bullet"/>
      <w:lvlText w:val="-"/>
      <w:lvlJc w:val="left"/>
      <w:pPr>
        <w:tabs>
          <w:tab w:val="num" w:pos="360"/>
        </w:tabs>
        <w:ind w:left="360" w:hanging="360"/>
      </w:pPr>
      <w:rPr>
        <w:rFonts w:ascii="Times New Roman" w:eastAsia="Times New Roman" w:hAnsi="Times New Roman" w:cs="Times New Roman" w:hint="default"/>
      </w:rPr>
    </w:lvl>
    <w:lvl w:ilvl="1" w:tplc="04090005">
      <w:start w:val="1"/>
      <w:numFmt w:val="bullet"/>
      <w:lvlText w:val=""/>
      <w:lvlJc w:val="left"/>
      <w:pPr>
        <w:tabs>
          <w:tab w:val="num" w:pos="1080"/>
        </w:tabs>
        <w:ind w:left="1080" w:hanging="360"/>
      </w:pPr>
      <w:rPr>
        <w:rFonts w:ascii="Wingdings" w:hAnsi="Wingdings" w:hint="default"/>
      </w:rPr>
    </w:lvl>
    <w:lvl w:ilvl="2" w:tplc="77E64F12">
      <w:numFmt w:val="bullet"/>
      <w:lvlText w:val="-"/>
      <w:lvlJc w:val="left"/>
      <w:pPr>
        <w:tabs>
          <w:tab w:val="num" w:pos="1980"/>
        </w:tabs>
        <w:ind w:left="1980" w:hanging="360"/>
      </w:pPr>
      <w:rPr>
        <w:rFonts w:ascii="Times New Roman" w:eastAsia="Times New Roman" w:hAnsi="Times New Roman" w:cs="Times New Roman"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28487CED"/>
    <w:multiLevelType w:val="hybridMultilevel"/>
    <w:tmpl w:val="1494DD14"/>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EE3536"/>
    <w:multiLevelType w:val="hybridMultilevel"/>
    <w:tmpl w:val="AB1E09D2"/>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03120E"/>
    <w:multiLevelType w:val="hybridMultilevel"/>
    <w:tmpl w:val="92FAF008"/>
    <w:lvl w:ilvl="0" w:tplc="04090005">
      <w:start w:val="1"/>
      <w:numFmt w:val="bullet"/>
      <w:lvlText w:val=""/>
      <w:lvlJc w:val="left"/>
      <w:pPr>
        <w:tabs>
          <w:tab w:val="num" w:pos="720"/>
        </w:tabs>
        <w:ind w:left="720" w:hanging="360"/>
      </w:pPr>
      <w:rPr>
        <w:rFonts w:ascii="Wingdings" w:hAnsi="Wingdings" w:hint="default"/>
      </w:rPr>
    </w:lvl>
    <w:lvl w:ilvl="1" w:tplc="C11A91E6">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0EE2E03"/>
    <w:multiLevelType w:val="hybridMultilevel"/>
    <w:tmpl w:val="C7EC304A"/>
    <w:lvl w:ilvl="0" w:tplc="041C000B">
      <w:start w:val="1"/>
      <w:numFmt w:val="bullet"/>
      <w:lvlText w:val=""/>
      <w:lvlJc w:val="left"/>
      <w:pPr>
        <w:tabs>
          <w:tab w:val="num" w:pos="720"/>
        </w:tabs>
        <w:ind w:left="720" w:hanging="360"/>
      </w:pPr>
      <w:rPr>
        <w:rFonts w:ascii="Wingdings" w:hAnsi="Wingdings" w:hint="default"/>
      </w:rPr>
    </w:lvl>
    <w:lvl w:ilvl="1" w:tplc="041C0003" w:tentative="1">
      <w:start w:val="1"/>
      <w:numFmt w:val="bullet"/>
      <w:lvlText w:val="o"/>
      <w:lvlJc w:val="left"/>
      <w:pPr>
        <w:tabs>
          <w:tab w:val="num" w:pos="1440"/>
        </w:tabs>
        <w:ind w:left="1440" w:hanging="360"/>
      </w:pPr>
      <w:rPr>
        <w:rFonts w:ascii="Courier New" w:hAnsi="Courier New" w:cs="Courier New" w:hint="default"/>
      </w:rPr>
    </w:lvl>
    <w:lvl w:ilvl="2" w:tplc="041C0005" w:tentative="1">
      <w:start w:val="1"/>
      <w:numFmt w:val="bullet"/>
      <w:lvlText w:val=""/>
      <w:lvlJc w:val="left"/>
      <w:pPr>
        <w:tabs>
          <w:tab w:val="num" w:pos="2160"/>
        </w:tabs>
        <w:ind w:left="2160" w:hanging="360"/>
      </w:pPr>
      <w:rPr>
        <w:rFonts w:ascii="Wingdings" w:hAnsi="Wingdings" w:hint="default"/>
      </w:rPr>
    </w:lvl>
    <w:lvl w:ilvl="3" w:tplc="041C0001" w:tentative="1">
      <w:start w:val="1"/>
      <w:numFmt w:val="bullet"/>
      <w:lvlText w:val=""/>
      <w:lvlJc w:val="left"/>
      <w:pPr>
        <w:tabs>
          <w:tab w:val="num" w:pos="2880"/>
        </w:tabs>
        <w:ind w:left="2880" w:hanging="360"/>
      </w:pPr>
      <w:rPr>
        <w:rFonts w:ascii="Symbol" w:hAnsi="Symbol" w:hint="default"/>
      </w:rPr>
    </w:lvl>
    <w:lvl w:ilvl="4" w:tplc="041C0003" w:tentative="1">
      <w:start w:val="1"/>
      <w:numFmt w:val="bullet"/>
      <w:lvlText w:val="o"/>
      <w:lvlJc w:val="left"/>
      <w:pPr>
        <w:tabs>
          <w:tab w:val="num" w:pos="3600"/>
        </w:tabs>
        <w:ind w:left="3600" w:hanging="360"/>
      </w:pPr>
      <w:rPr>
        <w:rFonts w:ascii="Courier New" w:hAnsi="Courier New" w:cs="Courier New" w:hint="default"/>
      </w:rPr>
    </w:lvl>
    <w:lvl w:ilvl="5" w:tplc="041C0005" w:tentative="1">
      <w:start w:val="1"/>
      <w:numFmt w:val="bullet"/>
      <w:lvlText w:val=""/>
      <w:lvlJc w:val="left"/>
      <w:pPr>
        <w:tabs>
          <w:tab w:val="num" w:pos="4320"/>
        </w:tabs>
        <w:ind w:left="4320" w:hanging="360"/>
      </w:pPr>
      <w:rPr>
        <w:rFonts w:ascii="Wingdings" w:hAnsi="Wingdings" w:hint="default"/>
      </w:rPr>
    </w:lvl>
    <w:lvl w:ilvl="6" w:tplc="041C0001" w:tentative="1">
      <w:start w:val="1"/>
      <w:numFmt w:val="bullet"/>
      <w:lvlText w:val=""/>
      <w:lvlJc w:val="left"/>
      <w:pPr>
        <w:tabs>
          <w:tab w:val="num" w:pos="5040"/>
        </w:tabs>
        <w:ind w:left="5040" w:hanging="360"/>
      </w:pPr>
      <w:rPr>
        <w:rFonts w:ascii="Symbol" w:hAnsi="Symbol" w:hint="default"/>
      </w:rPr>
    </w:lvl>
    <w:lvl w:ilvl="7" w:tplc="041C0003" w:tentative="1">
      <w:start w:val="1"/>
      <w:numFmt w:val="bullet"/>
      <w:lvlText w:val="o"/>
      <w:lvlJc w:val="left"/>
      <w:pPr>
        <w:tabs>
          <w:tab w:val="num" w:pos="5760"/>
        </w:tabs>
        <w:ind w:left="5760" w:hanging="360"/>
      </w:pPr>
      <w:rPr>
        <w:rFonts w:ascii="Courier New" w:hAnsi="Courier New" w:cs="Courier New" w:hint="default"/>
      </w:rPr>
    </w:lvl>
    <w:lvl w:ilvl="8" w:tplc="041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6A5A6D"/>
    <w:multiLevelType w:val="hybridMultilevel"/>
    <w:tmpl w:val="E6EA2AA6"/>
    <w:lvl w:ilvl="0" w:tplc="2A5A2C22">
      <w:start w:val="1"/>
      <w:numFmt w:val="upperRoman"/>
      <w:lvlText w:val="%1-"/>
      <w:lvlJc w:val="left"/>
      <w:pPr>
        <w:tabs>
          <w:tab w:val="num" w:pos="720"/>
        </w:tabs>
        <w:ind w:left="720" w:hanging="360"/>
      </w:pPr>
      <w:rPr>
        <w:rFonts w:ascii="Times New Roman" w:eastAsia="Times New Roman" w:hAnsi="Times New Roman" w:cs="Times New Roman"/>
      </w:rPr>
    </w:lvl>
    <w:lvl w:ilvl="1" w:tplc="3006B68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9B824A8"/>
    <w:multiLevelType w:val="hybridMultilevel"/>
    <w:tmpl w:val="5036BD24"/>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5ED73BC"/>
    <w:multiLevelType w:val="hybridMultilevel"/>
    <w:tmpl w:val="733412C0"/>
    <w:lvl w:ilvl="0" w:tplc="041C000B">
      <w:start w:val="1"/>
      <w:numFmt w:val="bullet"/>
      <w:lvlText w:val=""/>
      <w:lvlJc w:val="left"/>
      <w:pPr>
        <w:tabs>
          <w:tab w:val="num" w:pos="720"/>
        </w:tabs>
        <w:ind w:left="720" w:hanging="360"/>
      </w:pPr>
      <w:rPr>
        <w:rFonts w:ascii="Wingdings" w:hAnsi="Wingdings" w:hint="default"/>
      </w:rPr>
    </w:lvl>
    <w:lvl w:ilvl="1" w:tplc="041C0003" w:tentative="1">
      <w:start w:val="1"/>
      <w:numFmt w:val="bullet"/>
      <w:lvlText w:val="o"/>
      <w:lvlJc w:val="left"/>
      <w:pPr>
        <w:tabs>
          <w:tab w:val="num" w:pos="1440"/>
        </w:tabs>
        <w:ind w:left="1440" w:hanging="360"/>
      </w:pPr>
      <w:rPr>
        <w:rFonts w:ascii="Courier New" w:hAnsi="Courier New" w:cs="Courier New" w:hint="default"/>
      </w:rPr>
    </w:lvl>
    <w:lvl w:ilvl="2" w:tplc="041C0005" w:tentative="1">
      <w:start w:val="1"/>
      <w:numFmt w:val="bullet"/>
      <w:lvlText w:val=""/>
      <w:lvlJc w:val="left"/>
      <w:pPr>
        <w:tabs>
          <w:tab w:val="num" w:pos="2160"/>
        </w:tabs>
        <w:ind w:left="2160" w:hanging="360"/>
      </w:pPr>
      <w:rPr>
        <w:rFonts w:ascii="Wingdings" w:hAnsi="Wingdings" w:hint="default"/>
      </w:rPr>
    </w:lvl>
    <w:lvl w:ilvl="3" w:tplc="041C0001" w:tentative="1">
      <w:start w:val="1"/>
      <w:numFmt w:val="bullet"/>
      <w:lvlText w:val=""/>
      <w:lvlJc w:val="left"/>
      <w:pPr>
        <w:tabs>
          <w:tab w:val="num" w:pos="2880"/>
        </w:tabs>
        <w:ind w:left="2880" w:hanging="360"/>
      </w:pPr>
      <w:rPr>
        <w:rFonts w:ascii="Symbol" w:hAnsi="Symbol" w:hint="default"/>
      </w:rPr>
    </w:lvl>
    <w:lvl w:ilvl="4" w:tplc="041C0003" w:tentative="1">
      <w:start w:val="1"/>
      <w:numFmt w:val="bullet"/>
      <w:lvlText w:val="o"/>
      <w:lvlJc w:val="left"/>
      <w:pPr>
        <w:tabs>
          <w:tab w:val="num" w:pos="3600"/>
        </w:tabs>
        <w:ind w:left="3600" w:hanging="360"/>
      </w:pPr>
      <w:rPr>
        <w:rFonts w:ascii="Courier New" w:hAnsi="Courier New" w:cs="Courier New" w:hint="default"/>
      </w:rPr>
    </w:lvl>
    <w:lvl w:ilvl="5" w:tplc="041C0005" w:tentative="1">
      <w:start w:val="1"/>
      <w:numFmt w:val="bullet"/>
      <w:lvlText w:val=""/>
      <w:lvlJc w:val="left"/>
      <w:pPr>
        <w:tabs>
          <w:tab w:val="num" w:pos="4320"/>
        </w:tabs>
        <w:ind w:left="4320" w:hanging="360"/>
      </w:pPr>
      <w:rPr>
        <w:rFonts w:ascii="Wingdings" w:hAnsi="Wingdings" w:hint="default"/>
      </w:rPr>
    </w:lvl>
    <w:lvl w:ilvl="6" w:tplc="041C0001" w:tentative="1">
      <w:start w:val="1"/>
      <w:numFmt w:val="bullet"/>
      <w:lvlText w:val=""/>
      <w:lvlJc w:val="left"/>
      <w:pPr>
        <w:tabs>
          <w:tab w:val="num" w:pos="5040"/>
        </w:tabs>
        <w:ind w:left="5040" w:hanging="360"/>
      </w:pPr>
      <w:rPr>
        <w:rFonts w:ascii="Symbol" w:hAnsi="Symbol" w:hint="default"/>
      </w:rPr>
    </w:lvl>
    <w:lvl w:ilvl="7" w:tplc="041C0003" w:tentative="1">
      <w:start w:val="1"/>
      <w:numFmt w:val="bullet"/>
      <w:lvlText w:val="o"/>
      <w:lvlJc w:val="left"/>
      <w:pPr>
        <w:tabs>
          <w:tab w:val="num" w:pos="5760"/>
        </w:tabs>
        <w:ind w:left="5760" w:hanging="360"/>
      </w:pPr>
      <w:rPr>
        <w:rFonts w:ascii="Courier New" w:hAnsi="Courier New" w:cs="Courier New" w:hint="default"/>
      </w:rPr>
    </w:lvl>
    <w:lvl w:ilvl="8" w:tplc="041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86B2EE6"/>
    <w:multiLevelType w:val="hybridMultilevel"/>
    <w:tmpl w:val="9956259E"/>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5075E3"/>
    <w:multiLevelType w:val="hybridMultilevel"/>
    <w:tmpl w:val="070217BA"/>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7026B2D"/>
    <w:multiLevelType w:val="hybridMultilevel"/>
    <w:tmpl w:val="BA0CEFC6"/>
    <w:lvl w:ilvl="0" w:tplc="6A48EC9C">
      <w:start w:val="8"/>
      <w:numFmt w:val="bullet"/>
      <w:lvlText w:val="-"/>
      <w:lvlJc w:val="left"/>
      <w:pPr>
        <w:tabs>
          <w:tab w:val="num" w:pos="1080"/>
        </w:tabs>
        <w:ind w:left="1080" w:hanging="360"/>
      </w:pPr>
      <w:rPr>
        <w:rFonts w:ascii="CG Times" w:eastAsia="MS Mincho" w:hAnsi="CG Time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78191EC8"/>
    <w:multiLevelType w:val="hybridMultilevel"/>
    <w:tmpl w:val="AA84290A"/>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93C3C9F"/>
    <w:multiLevelType w:val="hybridMultilevel"/>
    <w:tmpl w:val="9C54A77C"/>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BC457C3"/>
    <w:multiLevelType w:val="hybridMultilevel"/>
    <w:tmpl w:val="3DEA967E"/>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E211A41"/>
    <w:multiLevelType w:val="hybridMultilevel"/>
    <w:tmpl w:val="C94E4D78"/>
    <w:lvl w:ilvl="0" w:tplc="C11A9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6"/>
  </w:num>
  <w:num w:numId="3">
    <w:abstractNumId w:val="12"/>
  </w:num>
  <w:num w:numId="4">
    <w:abstractNumId w:val="16"/>
  </w:num>
  <w:num w:numId="5">
    <w:abstractNumId w:val="14"/>
  </w:num>
  <w:num w:numId="6">
    <w:abstractNumId w:val="11"/>
  </w:num>
  <w:num w:numId="7">
    <w:abstractNumId w:val="22"/>
  </w:num>
  <w:num w:numId="8">
    <w:abstractNumId w:val="27"/>
  </w:num>
  <w:num w:numId="9">
    <w:abstractNumId w:val="28"/>
  </w:num>
  <w:num w:numId="10">
    <w:abstractNumId w:val="24"/>
  </w:num>
  <w:num w:numId="11">
    <w:abstractNumId w:val="30"/>
  </w:num>
  <w:num w:numId="12">
    <w:abstractNumId w:val="19"/>
  </w:num>
  <w:num w:numId="13">
    <w:abstractNumId w:val="17"/>
  </w:num>
  <w:num w:numId="14">
    <w:abstractNumId w:val="10"/>
  </w:num>
  <w:num w:numId="15">
    <w:abstractNumId w:val="13"/>
  </w:num>
  <w:num w:numId="16">
    <w:abstractNumId w:val="25"/>
  </w:num>
  <w:num w:numId="17">
    <w:abstractNumId w:val="18"/>
  </w:num>
  <w:num w:numId="18">
    <w:abstractNumId w:val="21"/>
  </w:num>
  <w:num w:numId="19">
    <w:abstractNumId w:val="29"/>
  </w:num>
  <w:num w:numId="20">
    <w:abstractNumId w:val="20"/>
  </w:num>
  <w:num w:numId="21">
    <w:abstractNumId w:val="2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9F5"/>
    <w:rsid w:val="00001D7F"/>
    <w:rsid w:val="00001ED4"/>
    <w:rsid w:val="0000253A"/>
    <w:rsid w:val="000029F5"/>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32"/>
    <w:rsid w:val="00046373"/>
    <w:rsid w:val="00050253"/>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4C06"/>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756"/>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1552"/>
    <w:rsid w:val="00141D3F"/>
    <w:rsid w:val="001441DD"/>
    <w:rsid w:val="001445FD"/>
    <w:rsid w:val="00144D75"/>
    <w:rsid w:val="0014598C"/>
    <w:rsid w:val="0015074C"/>
    <w:rsid w:val="001518AD"/>
    <w:rsid w:val="0015202D"/>
    <w:rsid w:val="00152456"/>
    <w:rsid w:val="0015294C"/>
    <w:rsid w:val="001532F4"/>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1A2"/>
    <w:rsid w:val="001B05F9"/>
    <w:rsid w:val="001B06BA"/>
    <w:rsid w:val="001B07CE"/>
    <w:rsid w:val="001B0A97"/>
    <w:rsid w:val="001B0B9C"/>
    <w:rsid w:val="001B10B7"/>
    <w:rsid w:val="001B2E8C"/>
    <w:rsid w:val="001B39D0"/>
    <w:rsid w:val="001B3AC8"/>
    <w:rsid w:val="001B4397"/>
    <w:rsid w:val="001B4E4C"/>
    <w:rsid w:val="001B5CDE"/>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A4"/>
    <w:rsid w:val="001F7370"/>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26F6"/>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23C"/>
    <w:rsid w:val="003424F0"/>
    <w:rsid w:val="0034544B"/>
    <w:rsid w:val="003460C1"/>
    <w:rsid w:val="00346A8A"/>
    <w:rsid w:val="003470D6"/>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369"/>
    <w:rsid w:val="0040496F"/>
    <w:rsid w:val="00404D01"/>
    <w:rsid w:val="00411350"/>
    <w:rsid w:val="00412459"/>
    <w:rsid w:val="00412625"/>
    <w:rsid w:val="004130DD"/>
    <w:rsid w:val="00413843"/>
    <w:rsid w:val="00413B02"/>
    <w:rsid w:val="00415054"/>
    <w:rsid w:val="004158E2"/>
    <w:rsid w:val="004169BD"/>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128"/>
    <w:rsid w:val="004833A8"/>
    <w:rsid w:val="0048385A"/>
    <w:rsid w:val="00483AD8"/>
    <w:rsid w:val="004876CD"/>
    <w:rsid w:val="004914C4"/>
    <w:rsid w:val="00491948"/>
    <w:rsid w:val="004919BA"/>
    <w:rsid w:val="0049210A"/>
    <w:rsid w:val="00494FC4"/>
    <w:rsid w:val="004952F5"/>
    <w:rsid w:val="0049593A"/>
    <w:rsid w:val="004A054C"/>
    <w:rsid w:val="004A133B"/>
    <w:rsid w:val="004A18ED"/>
    <w:rsid w:val="004A2BE7"/>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086"/>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1632"/>
    <w:rsid w:val="005A4A61"/>
    <w:rsid w:val="005A5A5B"/>
    <w:rsid w:val="005A5A8F"/>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1D64"/>
    <w:rsid w:val="005D242F"/>
    <w:rsid w:val="005D3BF4"/>
    <w:rsid w:val="005D7343"/>
    <w:rsid w:val="005D778C"/>
    <w:rsid w:val="005E004A"/>
    <w:rsid w:val="005E1300"/>
    <w:rsid w:val="005E3F56"/>
    <w:rsid w:val="005E4476"/>
    <w:rsid w:val="005E480A"/>
    <w:rsid w:val="005E52FC"/>
    <w:rsid w:val="005E55F7"/>
    <w:rsid w:val="005E57C8"/>
    <w:rsid w:val="005E5EF2"/>
    <w:rsid w:val="005E6E32"/>
    <w:rsid w:val="005F1594"/>
    <w:rsid w:val="005F1B52"/>
    <w:rsid w:val="005F1C45"/>
    <w:rsid w:val="005F436D"/>
    <w:rsid w:val="005F502B"/>
    <w:rsid w:val="005F5DCC"/>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435"/>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478"/>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2B9E"/>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A1C"/>
    <w:rsid w:val="00704754"/>
    <w:rsid w:val="00704CA8"/>
    <w:rsid w:val="00705FE0"/>
    <w:rsid w:val="007061BC"/>
    <w:rsid w:val="00706E88"/>
    <w:rsid w:val="007070CD"/>
    <w:rsid w:val="007071C1"/>
    <w:rsid w:val="00707A6A"/>
    <w:rsid w:val="007100D6"/>
    <w:rsid w:val="007103A3"/>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073"/>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4905"/>
    <w:rsid w:val="00766B78"/>
    <w:rsid w:val="0077025A"/>
    <w:rsid w:val="007708DE"/>
    <w:rsid w:val="007719C1"/>
    <w:rsid w:val="00771AFE"/>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1C50"/>
    <w:rsid w:val="00832A02"/>
    <w:rsid w:val="008349DC"/>
    <w:rsid w:val="00837999"/>
    <w:rsid w:val="008409A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0FF"/>
    <w:rsid w:val="0087472F"/>
    <w:rsid w:val="008749E2"/>
    <w:rsid w:val="00876E17"/>
    <w:rsid w:val="00877C89"/>
    <w:rsid w:val="0088053B"/>
    <w:rsid w:val="008812CF"/>
    <w:rsid w:val="00881FB0"/>
    <w:rsid w:val="00881FC9"/>
    <w:rsid w:val="00883176"/>
    <w:rsid w:val="008840EB"/>
    <w:rsid w:val="0088583C"/>
    <w:rsid w:val="00885DA9"/>
    <w:rsid w:val="0088753F"/>
    <w:rsid w:val="00887763"/>
    <w:rsid w:val="00887EBD"/>
    <w:rsid w:val="00890E90"/>
    <w:rsid w:val="0089109C"/>
    <w:rsid w:val="00891713"/>
    <w:rsid w:val="00891BFF"/>
    <w:rsid w:val="00894353"/>
    <w:rsid w:val="0089617E"/>
    <w:rsid w:val="0089647C"/>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0D2"/>
    <w:rsid w:val="009954D2"/>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0BD7"/>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0878"/>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616"/>
    <w:rsid w:val="00B01885"/>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7099"/>
    <w:rsid w:val="00BE72B3"/>
    <w:rsid w:val="00BE741A"/>
    <w:rsid w:val="00BF19D9"/>
    <w:rsid w:val="00BF214C"/>
    <w:rsid w:val="00BF3863"/>
    <w:rsid w:val="00BF3F95"/>
    <w:rsid w:val="00BF47D7"/>
    <w:rsid w:val="00BF5651"/>
    <w:rsid w:val="00BF6A44"/>
    <w:rsid w:val="00BF6E17"/>
    <w:rsid w:val="00C004EF"/>
    <w:rsid w:val="00C00601"/>
    <w:rsid w:val="00C01FF8"/>
    <w:rsid w:val="00C04730"/>
    <w:rsid w:val="00C049A9"/>
    <w:rsid w:val="00C04C46"/>
    <w:rsid w:val="00C05B57"/>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40DD"/>
    <w:rsid w:val="00C95E3B"/>
    <w:rsid w:val="00C97107"/>
    <w:rsid w:val="00CA0577"/>
    <w:rsid w:val="00CA0746"/>
    <w:rsid w:val="00CA07EF"/>
    <w:rsid w:val="00CA1E67"/>
    <w:rsid w:val="00CA1E81"/>
    <w:rsid w:val="00CA2258"/>
    <w:rsid w:val="00CA2433"/>
    <w:rsid w:val="00CA3522"/>
    <w:rsid w:val="00CA4FE2"/>
    <w:rsid w:val="00CA51CA"/>
    <w:rsid w:val="00CA6D1D"/>
    <w:rsid w:val="00CA6FC1"/>
    <w:rsid w:val="00CA7AD0"/>
    <w:rsid w:val="00CB05B5"/>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7D56"/>
    <w:rsid w:val="00D02DFD"/>
    <w:rsid w:val="00D0346B"/>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681E"/>
    <w:rsid w:val="00D56EEC"/>
    <w:rsid w:val="00D601C0"/>
    <w:rsid w:val="00D60C1C"/>
    <w:rsid w:val="00D60C59"/>
    <w:rsid w:val="00D61390"/>
    <w:rsid w:val="00D61D9D"/>
    <w:rsid w:val="00D623C3"/>
    <w:rsid w:val="00D62D8F"/>
    <w:rsid w:val="00D62E93"/>
    <w:rsid w:val="00D63381"/>
    <w:rsid w:val="00D63FC4"/>
    <w:rsid w:val="00D65923"/>
    <w:rsid w:val="00D661E4"/>
    <w:rsid w:val="00D6683B"/>
    <w:rsid w:val="00D709A2"/>
    <w:rsid w:val="00D709CF"/>
    <w:rsid w:val="00D70CAF"/>
    <w:rsid w:val="00D70F57"/>
    <w:rsid w:val="00D721E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4BE8"/>
    <w:rsid w:val="00DF6D87"/>
    <w:rsid w:val="00DF776F"/>
    <w:rsid w:val="00E00020"/>
    <w:rsid w:val="00E01487"/>
    <w:rsid w:val="00E02436"/>
    <w:rsid w:val="00E02A89"/>
    <w:rsid w:val="00E02E71"/>
    <w:rsid w:val="00E03C4C"/>
    <w:rsid w:val="00E03CC8"/>
    <w:rsid w:val="00E04ECB"/>
    <w:rsid w:val="00E05C49"/>
    <w:rsid w:val="00E10CA3"/>
    <w:rsid w:val="00E1104F"/>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09DF"/>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43E3"/>
    <w:rsid w:val="00E94911"/>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161"/>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7B9A6D7-1C53-4515-ADFB-27B3554B7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9F5"/>
    <w:rPr>
      <w:sz w:val="24"/>
      <w:szCs w:val="24"/>
    </w:rPr>
  </w:style>
  <w:style w:type="paragraph" w:styleId="Heading1">
    <w:name w:val="heading 1"/>
    <w:aliases w:val="sch..,h1,new page/chapter,h11,new page/chapter1,h12,new page/chapter2,h111,new page/chapter11,h13,new page/chapter3,h112,new page/chapter12,h14,new page/chapter4,h113,new page/chapter13,CMG H1,Head1,Heading apps,Class Heading,1,H1,heading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autoRedefine/>
    <w:qFormat/>
    <w:rsid w:val="000029F5"/>
    <w:pPr>
      <w:spacing w:after="120"/>
      <w:jc w:val="both"/>
      <w:outlineLvl w:val="1"/>
    </w:pPr>
    <w:rPr>
      <w:rFonts w:eastAsia="MS Mincho"/>
      <w:b/>
      <w:bCs/>
      <w:iCs/>
      <w:lang w:val="sq-AL"/>
    </w:rPr>
  </w:style>
  <w:style w:type="paragraph" w:styleId="Heading3">
    <w:name w:val="heading 3"/>
    <w:basedOn w:val="Normal"/>
    <w:next w:val="Normal"/>
    <w:autoRedefine/>
    <w:qFormat/>
    <w:rsid w:val="000029F5"/>
    <w:pPr>
      <w:keepNext/>
      <w:spacing w:before="240" w:after="60"/>
      <w:jc w:val="both"/>
      <w:outlineLvl w:val="2"/>
    </w:pPr>
    <w:rPr>
      <w:rFonts w:eastAsia="MS Mincho"/>
      <w:b/>
      <w:bCs/>
      <w:i/>
      <w:lang w:val="sq-AL"/>
    </w:rPr>
  </w:style>
  <w:style w:type="paragraph" w:styleId="Heading4">
    <w:name w:val="heading 4"/>
    <w:basedOn w:val="Normal"/>
    <w:next w:val="Normal"/>
    <w:autoRedefine/>
    <w:qFormat/>
    <w:rsid w:val="000029F5"/>
    <w:pPr>
      <w:keepNext/>
      <w:spacing w:before="240" w:after="60"/>
      <w:jc w:val="both"/>
      <w:outlineLvl w:val="3"/>
    </w:pPr>
    <w:rPr>
      <w:rFonts w:eastAsia="MS Mincho"/>
      <w:b/>
      <w:bCs/>
      <w:i/>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0029F5"/>
    <w:rPr>
      <w:rFonts w:ascii="CG Times" w:eastAsia="MS Mincho" w:hAnsi="CG Times"/>
      <w:caps/>
      <w:sz w:val="22"/>
      <w:szCs w:val="22"/>
      <w:lang w:val="en-GB" w:eastAsia="en-US" w:bidi="ar-SA"/>
    </w:rPr>
  </w:style>
  <w:style w:type="paragraph" w:customStyle="1" w:styleId="CharCharCharChar">
    <w:name w:val="Char Char Char Char"/>
    <w:basedOn w:val="Normal"/>
    <w:rsid w:val="00653445"/>
    <w:pPr>
      <w:spacing w:after="160" w:line="240" w:lineRule="exact"/>
    </w:pPr>
    <w:rPr>
      <w:rFonts w:ascii="Tahoma" w:hAnsi="Tahoma"/>
      <w:sz w:val="20"/>
      <w:szCs w:val="20"/>
    </w:rPr>
  </w:style>
  <w:style w:type="paragraph" w:styleId="Footer">
    <w:name w:val="footer"/>
    <w:basedOn w:val="Normal"/>
    <w:rsid w:val="000029F5"/>
    <w:pPr>
      <w:tabs>
        <w:tab w:val="center" w:pos="4320"/>
        <w:tab w:val="right" w:pos="8640"/>
      </w:tabs>
    </w:pPr>
  </w:style>
  <w:style w:type="character" w:styleId="PageNumber">
    <w:name w:val="page number"/>
    <w:basedOn w:val="DefaultParagraphFont"/>
    <w:rsid w:val="000029F5"/>
  </w:style>
  <w:style w:type="character" w:styleId="Strong">
    <w:name w:val="Strong"/>
    <w:basedOn w:val="DefaultParagraphFont"/>
    <w:qFormat/>
    <w:rsid w:val="000029F5"/>
    <w:rPr>
      <w:b/>
      <w:bCs/>
    </w:rPr>
  </w:style>
  <w:style w:type="character" w:styleId="Hyperlink">
    <w:name w:val="Hyperlink"/>
    <w:basedOn w:val="DefaultParagraphFont"/>
    <w:rsid w:val="000029F5"/>
    <w:rPr>
      <w:color w:val="0000FF"/>
      <w:u w:val="single"/>
    </w:rPr>
  </w:style>
  <w:style w:type="paragraph" w:customStyle="1" w:styleId="CharCharChar">
    <w:name w:val="Char Char Char"/>
    <w:basedOn w:val="Normal"/>
    <w:rsid w:val="000029F5"/>
    <w:pPr>
      <w:spacing w:after="160" w:line="240" w:lineRule="exact"/>
    </w:pPr>
    <w:rPr>
      <w:rFonts w:ascii="Tahoma" w:eastAsia="MS Mincho" w:hAnsi="Tahoma"/>
      <w:sz w:val="20"/>
      <w:szCs w:val="20"/>
    </w:rPr>
  </w:style>
  <w:style w:type="paragraph" w:customStyle="1" w:styleId="Titrearticle">
    <w:name w:val="Titre article"/>
    <w:basedOn w:val="Normal"/>
    <w:next w:val="Normal"/>
    <w:rsid w:val="000029F5"/>
    <w:pPr>
      <w:keepNext/>
      <w:spacing w:before="360" w:after="120"/>
      <w:jc w:val="center"/>
    </w:pPr>
    <w:rPr>
      <w:rFonts w:eastAsia="MS Mincho"/>
      <w:i/>
      <w:szCs w:val="20"/>
      <w:lang w:val="en-GB" w:eastAsia="en-GB"/>
    </w:rPr>
  </w:style>
  <w:style w:type="paragraph" w:customStyle="1" w:styleId="ManualNumPar1">
    <w:name w:val="Manual NumPar 1"/>
    <w:basedOn w:val="Normal"/>
    <w:next w:val="Normal"/>
    <w:rsid w:val="000029F5"/>
    <w:pPr>
      <w:spacing w:before="120" w:after="120"/>
      <w:ind w:left="851" w:hanging="851"/>
      <w:jc w:val="both"/>
    </w:pPr>
    <w:rPr>
      <w:rFonts w:eastAsia="MS Mincho"/>
      <w:szCs w:val="20"/>
      <w:lang w:val="en-GB" w:eastAsia="en-GB"/>
    </w:rPr>
  </w:style>
  <w:style w:type="paragraph" w:customStyle="1" w:styleId="CharCharChar0">
    <w:name w:val="Char Char Char"/>
    <w:basedOn w:val="Normal"/>
    <w:rsid w:val="000029F5"/>
    <w:pPr>
      <w:spacing w:after="160" w:line="240" w:lineRule="exact"/>
    </w:pPr>
    <w:rPr>
      <w:rFonts w:ascii="Tahoma" w:eastAsia="MS Mincho" w:hAnsi="Tahoma"/>
      <w:sz w:val="20"/>
      <w:szCs w:val="20"/>
    </w:rPr>
  </w:style>
  <w:style w:type="paragraph" w:customStyle="1" w:styleId="Normal0">
    <w:name w:val="[Normal]"/>
    <w:rsid w:val="000029F5"/>
    <w:pPr>
      <w:autoSpaceDE w:val="0"/>
      <w:autoSpaceDN w:val="0"/>
      <w:adjustRightInd w:val="0"/>
    </w:pPr>
    <w:rPr>
      <w:rFonts w:ascii="Arial" w:eastAsia="MS Mincho" w:hAnsi="Arial" w:cs="Arial"/>
      <w:sz w:val="24"/>
      <w:szCs w:val="24"/>
    </w:rPr>
  </w:style>
  <w:style w:type="paragraph" w:customStyle="1" w:styleId="NormalWeb3">
    <w:name w:val="Normal (Web)3"/>
    <w:basedOn w:val="Normal"/>
    <w:rsid w:val="000029F5"/>
    <w:pPr>
      <w:spacing w:before="30" w:after="30"/>
      <w:ind w:left="30"/>
    </w:pPr>
    <w:rPr>
      <w:rFonts w:ascii="Verdana" w:eastAsia="MS Mincho" w:hAnsi="Verdana"/>
    </w:rPr>
  </w:style>
  <w:style w:type="paragraph" w:customStyle="1" w:styleId="CharCharCharCharCharCharCharCharChar">
    <w:name w:val="Char Char Char Char Char Char Char Char Char"/>
    <w:basedOn w:val="Normal"/>
    <w:rsid w:val="000029F5"/>
    <w:pPr>
      <w:spacing w:after="160" w:line="240" w:lineRule="exact"/>
    </w:pPr>
    <w:rPr>
      <w:rFonts w:ascii="Tahoma" w:eastAsia="MS Mincho" w:hAnsi="Tahoma"/>
      <w:sz w:val="20"/>
      <w:szCs w:val="20"/>
      <w:lang w:val="sq-AL"/>
    </w:rPr>
  </w:style>
  <w:style w:type="paragraph" w:styleId="ListParagraph">
    <w:name w:val="List Paragraph"/>
    <w:basedOn w:val="Normal"/>
    <w:qFormat/>
    <w:rsid w:val="000029F5"/>
    <w:pPr>
      <w:ind w:left="720"/>
    </w:pPr>
    <w:rPr>
      <w:rFonts w:eastAsia="MS Mincho"/>
    </w:rPr>
  </w:style>
  <w:style w:type="paragraph" w:styleId="Header">
    <w:name w:val="header"/>
    <w:basedOn w:val="Normal"/>
    <w:rsid w:val="000029F5"/>
    <w:pPr>
      <w:tabs>
        <w:tab w:val="center" w:pos="4320"/>
        <w:tab w:val="right" w:pos="8640"/>
      </w:tabs>
    </w:pPr>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2271</Words>
  <Characters>12945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15186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4</cp:revision>
  <dcterms:created xsi:type="dcterms:W3CDTF">2025-10-22T08:35:00Z</dcterms:created>
  <dcterms:modified xsi:type="dcterms:W3CDTF">2025-10-22T08:44:00Z</dcterms:modified>
</cp:coreProperties>
</file>