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484" w:rsidRPr="006A01AD" w:rsidRDefault="007E5484" w:rsidP="007E548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1AD">
        <w:rPr>
          <w:sz w:val="21"/>
          <w:szCs w:val="21"/>
        </w:rPr>
        <w:t>VENDIM</w:t>
      </w:r>
    </w:p>
    <w:p w:rsidR="007E5484" w:rsidRPr="006A01AD" w:rsidRDefault="007E5484" w:rsidP="007E5484">
      <w:pPr>
        <w:pStyle w:val="NumriData"/>
        <w:keepNext w:val="0"/>
        <w:rPr>
          <w:rFonts w:ascii="Times New Roman" w:hAnsi="Times New Roman"/>
          <w:sz w:val="21"/>
          <w:szCs w:val="21"/>
          <w:lang w:eastAsia="ko-KR"/>
        </w:rPr>
      </w:pPr>
      <w:r w:rsidRPr="006A01AD">
        <w:rPr>
          <w:sz w:val="21"/>
          <w:szCs w:val="21"/>
        </w:rPr>
        <w:t>Nr.1148, dat</w:t>
      </w:r>
      <w:r w:rsidRPr="006A01AD">
        <w:rPr>
          <w:sz w:val="21"/>
          <w:szCs w:val="21"/>
          <w:lang w:eastAsia="ko-KR"/>
        </w:rPr>
        <w:t>ë 25.11.2009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</w:p>
    <w:p w:rsidR="007E5484" w:rsidRPr="006A01AD" w:rsidRDefault="007E5484" w:rsidP="007E5484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PËR SHPRONËSIMIN, PËR INTERES PUBLIK, TË PRONARËVE TË PASURIVE TË PALUAJTSHME, PRONË </w:t>
      </w:r>
      <w:r w:rsidRPr="009A09EF">
        <w:rPr>
          <w:rStyle w:val="ParagrafiChar"/>
        </w:rPr>
        <w:t> </w:t>
      </w:r>
      <w:r w:rsidRPr="006A01AD">
        <w:rPr>
          <w:sz w:val="21"/>
          <w:szCs w:val="21"/>
        </w:rPr>
        <w:t>PRIVATE, QË </w:t>
      </w:r>
      <w:r w:rsidRPr="009A09EF">
        <w:rPr>
          <w:rStyle w:val="ParagrafiChar"/>
        </w:rPr>
        <w:t> </w:t>
      </w:r>
      <w:r w:rsidRPr="006A01AD">
        <w:rPr>
          <w:sz w:val="21"/>
          <w:szCs w:val="21"/>
        </w:rPr>
        <w:t>PREKEN NGA </w:t>
      </w:r>
      <w:r w:rsidRPr="009A09EF">
        <w:rPr>
          <w:rStyle w:val="ParagrafiChar"/>
        </w:rPr>
        <w:t> </w:t>
      </w:r>
      <w:r w:rsidRPr="006A01AD">
        <w:rPr>
          <w:sz w:val="21"/>
          <w:szCs w:val="21"/>
        </w:rPr>
        <w:t>NDËRTIMI I SEGMENTIT RRUGOR “RRUGA HYRËSE–FIER”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 </w:t>
      </w:r>
    </w:p>
    <w:p w:rsidR="007E5484" w:rsidRPr="006A01AD" w:rsidRDefault="007E5484" w:rsidP="007E5484">
      <w:pPr>
        <w:pStyle w:val="BazLigjPropozues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Në mbështetje të nenit 100 të Kushtetutës, të neneve 5, pika 1, 20 e 21 të ligjit nr.8561, datë 22.12.1999 “Për shpronësimet dhe marrjen në përdorim të përkohshëm të pasurisë, pronë private, për interes publik” dhe të nenit 8 të ligjit nr.9836, </w:t>
      </w:r>
      <w:r w:rsidRPr="009A09EF">
        <w:rPr>
          <w:rStyle w:val="ParagrafiChar"/>
        </w:rPr>
        <w:t> </w:t>
      </w:r>
      <w:r w:rsidRPr="006A01AD">
        <w:rPr>
          <w:sz w:val="21"/>
          <w:szCs w:val="21"/>
        </w:rPr>
        <w:t>datë 26.11.2007 “Për Buxhetin e Shtetit të vitit 2008”, të ndryshuar, me propozimin e Ministrit të Punëve Publike, Transportit dhe Telekomunikacionit, Këshilli i Ministrave</w:t>
      </w:r>
    </w:p>
    <w:p w:rsidR="007E5484" w:rsidRPr="006A01AD" w:rsidRDefault="007E5484" w:rsidP="007E5484">
      <w:pPr>
        <w:pStyle w:val="VENDOSI0"/>
        <w:keepNext w:val="0"/>
        <w:rPr>
          <w:sz w:val="21"/>
          <w:szCs w:val="21"/>
        </w:rPr>
      </w:pPr>
    </w:p>
    <w:p w:rsidR="007E5484" w:rsidRPr="006A01AD" w:rsidRDefault="007E5484" w:rsidP="007E5484">
      <w:pPr>
        <w:pStyle w:val="VENDOS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VENDOSI: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 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1. Shpronësimin, për interes publik, të pronarëve të pasurive të paluajtshme, pronë private, që preken nga ndërtimit i segmentit rrugor “Rruga hyrëse - Fier”.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2. Shpronësimi të bëhet në favor të Drejtorisë së Përgjithshme të Rrugëve.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3. Pronarët e pasurive të paluajtshme, që shpronësohen, të kompensohen në vlerë të plotë, sipas masës përkatëse të kompensimit, që paraqitet në tabelën, që i bashkëlidhet këtij vendimi, për sipërfaqen 790</w:t>
      </w:r>
      <w:r>
        <w:rPr>
          <w:sz w:val="21"/>
          <w:szCs w:val="21"/>
        </w:rPr>
        <w:t>.</w:t>
      </w:r>
      <w:r w:rsidRPr="006A01AD">
        <w:rPr>
          <w:sz w:val="21"/>
          <w:szCs w:val="21"/>
        </w:rPr>
        <w:t xml:space="preserve">7 </w:t>
      </w:r>
      <w:r>
        <w:rPr>
          <w:sz w:val="21"/>
          <w:szCs w:val="21"/>
        </w:rPr>
        <w:t xml:space="preserve"> </w:t>
      </w:r>
      <w:r w:rsidRPr="006A01AD">
        <w:rPr>
          <w:sz w:val="21"/>
          <w:szCs w:val="21"/>
        </w:rPr>
        <w:t xml:space="preserve">(shtatëqind e </w:t>
      </w:r>
      <w:r>
        <w:rPr>
          <w:sz w:val="21"/>
          <w:szCs w:val="21"/>
        </w:rPr>
        <w:t xml:space="preserve"> </w:t>
      </w:r>
      <w:r w:rsidRPr="006A01AD">
        <w:rPr>
          <w:sz w:val="21"/>
          <w:szCs w:val="21"/>
        </w:rPr>
        <w:t>nëntëdhjetë  presje  shtatë)</w:t>
      </w:r>
      <w:r w:rsidRPr="009A09EF">
        <w:t> </w:t>
      </w:r>
      <w:r w:rsidRPr="006A01AD">
        <w:rPr>
          <w:sz w:val="21"/>
          <w:szCs w:val="21"/>
        </w:rPr>
        <w:t>m²,</w:t>
      </w:r>
      <w:r w:rsidRPr="009A09EF">
        <w:t xml:space="preserve">  </w:t>
      </w:r>
      <w:r w:rsidRPr="006A01AD">
        <w:rPr>
          <w:sz w:val="21"/>
          <w:szCs w:val="21"/>
        </w:rPr>
        <w:t>tokë  truall, </w:t>
      </w:r>
      <w:r w:rsidRPr="009A09EF">
        <w:t> </w:t>
      </w:r>
      <w:r w:rsidRPr="006A01AD">
        <w:rPr>
          <w:sz w:val="21"/>
          <w:szCs w:val="21"/>
        </w:rPr>
        <w:t>me  vlerë </w:t>
      </w:r>
      <w:r w:rsidRPr="009A09EF">
        <w:t> </w:t>
      </w:r>
      <w:r w:rsidRPr="006A01AD">
        <w:rPr>
          <w:sz w:val="21"/>
          <w:szCs w:val="21"/>
        </w:rPr>
        <w:t xml:space="preserve">të </w:t>
      </w:r>
      <w:r>
        <w:rPr>
          <w:sz w:val="21"/>
          <w:szCs w:val="21"/>
        </w:rPr>
        <w:t xml:space="preserve"> </w:t>
      </w:r>
      <w:r w:rsidRPr="006A01AD">
        <w:rPr>
          <w:sz w:val="21"/>
          <w:szCs w:val="21"/>
        </w:rPr>
        <w:t xml:space="preserve">përgjithshme  </w:t>
      </w:r>
      <w:r>
        <w:rPr>
          <w:sz w:val="21"/>
          <w:szCs w:val="21"/>
        </w:rPr>
        <w:t xml:space="preserve"> shpronësimi  9 488 400 (</w:t>
      </w:r>
      <w:r w:rsidRPr="006A01AD">
        <w:rPr>
          <w:sz w:val="21"/>
          <w:szCs w:val="21"/>
        </w:rPr>
        <w:t>nëntë milionë e katërqind e tetëdhjetë e tetë mijë e katërqind ) lekë.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4. Shpenzimet procedurale, në shumën 252 500 (dyqind e pesëdhjetë e dy mijë e pesëqind ) lekë, të përballohen nga Drejtoria e Përgjithshme e Rrugëve.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5. Vlera e përgjithshme e shpronësimit, prej 9 488 400 (nëntë milionë e katërqind e tetëdhjetë e tetë mijë e katërqind ) lekësh, të përballohet nga llogaria e veçantë e Ministrisë së Fi</w:t>
      </w:r>
      <w:r>
        <w:rPr>
          <w:sz w:val="21"/>
          <w:szCs w:val="21"/>
        </w:rPr>
        <w:t>nancave, në Bankën e Shqipërisë</w:t>
      </w:r>
      <w:r w:rsidRPr="006A01AD">
        <w:rPr>
          <w:sz w:val="21"/>
          <w:szCs w:val="21"/>
        </w:rPr>
        <w:t xml:space="preserve"> “Fondi i shpronësimeve”.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6.</w:t>
      </w:r>
      <w:r w:rsidRPr="009A09EF">
        <w:t> </w:t>
      </w:r>
      <w:r w:rsidRPr="006A01AD">
        <w:rPr>
          <w:sz w:val="21"/>
          <w:szCs w:val="21"/>
        </w:rPr>
        <w:t>Shpronësimi të fillojë më </w:t>
      </w:r>
      <w:r w:rsidRPr="009A09EF">
        <w:t> </w:t>
      </w:r>
      <w:r w:rsidRPr="006A01AD">
        <w:rPr>
          <w:sz w:val="21"/>
          <w:szCs w:val="21"/>
        </w:rPr>
        <w:t>25.11.2009 dhe të përfundojë më 31.12.2009.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 7. Drejtoria e Përgjithshme e Rrugëve të bëjë likuidimin e pronarëve brenda afatit të parashikuar në pikën 6 të këtij vendimi.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 8. Ngarkohen Ministria e Punëve Publike, Transportit dhe Telekomunikacionit, Ministria e Financave dhe </w:t>
      </w:r>
      <w:r w:rsidRPr="009A09EF">
        <w:t> </w:t>
      </w:r>
      <w:r w:rsidRPr="006A01AD">
        <w:rPr>
          <w:sz w:val="21"/>
          <w:szCs w:val="21"/>
        </w:rPr>
        <w:t>Drejtoria e Përgjithshme e Rrugëve për zbatimin e këtij vendimi.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 Ky vendim hyn në fuqi menjëherë dhe botohet në Fletoren Zyrtare. </w:t>
      </w:r>
    </w:p>
    <w:p w:rsidR="007E5484" w:rsidRPr="006A01AD" w:rsidRDefault="007E5484" w:rsidP="007E5484">
      <w:pPr>
        <w:pStyle w:val="Paragrafi"/>
        <w:rPr>
          <w:sz w:val="21"/>
          <w:szCs w:val="21"/>
        </w:rPr>
      </w:pPr>
      <w:r w:rsidRPr="006A01AD">
        <w:rPr>
          <w:sz w:val="21"/>
          <w:szCs w:val="21"/>
        </w:rPr>
        <w:t> </w:t>
      </w:r>
    </w:p>
    <w:p w:rsidR="007E5484" w:rsidRPr="006A01AD" w:rsidRDefault="007E5484" w:rsidP="007E5484">
      <w:pPr>
        <w:pStyle w:val="Autoriteti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KRYEMINISTRI</w:t>
      </w:r>
    </w:p>
    <w:p w:rsidR="007E5484" w:rsidRPr="006A01AD" w:rsidRDefault="007E5484" w:rsidP="007E5484">
      <w:pPr>
        <w:pStyle w:val="AutoritetiEmer"/>
        <w:rPr>
          <w:sz w:val="21"/>
          <w:szCs w:val="21"/>
        </w:rPr>
      </w:pPr>
      <w:r w:rsidRPr="006A01AD">
        <w:rPr>
          <w:sz w:val="21"/>
          <w:szCs w:val="21"/>
        </w:rPr>
        <w:t> Sali</w:t>
      </w:r>
      <w:r w:rsidRPr="009A09EF">
        <w:rPr>
          <w:rStyle w:val="ParagrafiChar"/>
        </w:rPr>
        <w:t> </w:t>
      </w:r>
      <w:r w:rsidRPr="006A01AD">
        <w:rPr>
          <w:sz w:val="21"/>
          <w:szCs w:val="21"/>
        </w:rPr>
        <w:t> Berisha</w:t>
      </w:r>
    </w:p>
    <w:p w:rsidR="007E5484" w:rsidRPr="006A01AD" w:rsidRDefault="007E5484" w:rsidP="007E5484">
      <w:pPr>
        <w:pStyle w:val="Paragrafi"/>
        <w:rPr>
          <w:sz w:val="21"/>
          <w:szCs w:val="21"/>
        </w:rPr>
        <w:sectPr w:rsidR="007E5484" w:rsidRPr="006A01AD" w:rsidSect="007E5484">
          <w:footerReference w:type="even" r:id="rId7"/>
          <w:footerReference w:type="default" r:id="rId8"/>
          <w:pgSz w:w="12240" w:h="15840"/>
          <w:pgMar w:top="1418" w:right="1418" w:bottom="1418" w:left="1418" w:header="1304" w:footer="1134" w:gutter="0"/>
          <w:pgNumType w:start="8121"/>
          <w:cols w:space="720"/>
          <w:docGrid w:linePitch="360"/>
        </w:sectPr>
      </w:pPr>
    </w:p>
    <w:p w:rsidR="007E5484" w:rsidRPr="006A01AD" w:rsidRDefault="007E5484" w:rsidP="007E5484">
      <w:pPr>
        <w:pStyle w:val="Tabele"/>
      </w:pPr>
      <w:r w:rsidRPr="006A01AD">
        <w:t>REPUBLIKA E SHQIPËRISË</w:t>
      </w:r>
    </w:p>
    <w:p w:rsidR="007E5484" w:rsidRPr="006A01AD" w:rsidRDefault="007E5484" w:rsidP="007E5484">
      <w:pPr>
        <w:pStyle w:val="Tabele"/>
      </w:pPr>
      <w:r w:rsidRPr="006A01AD">
        <w:t>DREJTORIA E PËRGJITHSHME E RRUGËVE</w:t>
      </w:r>
    </w:p>
    <w:p w:rsidR="007E5484" w:rsidRPr="006A01AD" w:rsidRDefault="007E5484" w:rsidP="007E5484">
      <w:pPr>
        <w:pStyle w:val="Tabele"/>
      </w:pPr>
      <w:r w:rsidRPr="006A01AD">
        <w:t>DREJTORIA JURIDIKE</w:t>
      </w:r>
    </w:p>
    <w:p w:rsidR="007E5484" w:rsidRPr="006A01AD" w:rsidRDefault="007E5484" w:rsidP="007E5484">
      <w:pPr>
        <w:pStyle w:val="Tabele"/>
      </w:pPr>
      <w:r w:rsidRPr="006A01AD">
        <w:t>SEKTORI I SHPRONËSIMEVE</w:t>
      </w:r>
    </w:p>
    <w:p w:rsidR="007E5484" w:rsidRPr="006A01AD" w:rsidRDefault="007E5484" w:rsidP="007E5484">
      <w:pPr>
        <w:pStyle w:val="Tabele"/>
      </w:pPr>
    </w:p>
    <w:p w:rsidR="007E5484" w:rsidRPr="006A01AD" w:rsidRDefault="007E5484" w:rsidP="007E5484">
      <w:pPr>
        <w:pStyle w:val="Tabele"/>
      </w:pPr>
      <w:r w:rsidRPr="006A01AD">
        <w:t>Lista e pronarëve që duhet të shpronësohen nga ndërtimi i segmentit rrugor “hyrja FIer”</w:t>
      </w:r>
    </w:p>
    <w:p w:rsidR="007E5484" w:rsidRPr="006A01AD" w:rsidRDefault="007E5484" w:rsidP="007E5484">
      <w:pPr>
        <w:pStyle w:val="Tabele"/>
      </w:pPr>
    </w:p>
    <w:tbl>
      <w:tblPr>
        <w:tblStyle w:val="Shpallj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361"/>
        <w:gridCol w:w="1594"/>
        <w:gridCol w:w="996"/>
        <w:gridCol w:w="1350"/>
        <w:gridCol w:w="1017"/>
        <w:gridCol w:w="1068"/>
        <w:gridCol w:w="1592"/>
        <w:gridCol w:w="1243"/>
        <w:gridCol w:w="2226"/>
      </w:tblGrid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Nr.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Emri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Mbiemri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Z.kad.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Nr.pas.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  <w:rPr>
                <w:vertAlign w:val="superscript"/>
              </w:rPr>
            </w:pPr>
            <w:r w:rsidRPr="006A01AD">
              <w:rPr>
                <w:caps/>
              </w:rPr>
              <w:t>Sip. (m</w:t>
            </w:r>
            <w:r w:rsidRPr="006A01AD">
              <w:rPr>
                <w:caps/>
                <w:vertAlign w:val="superscript"/>
              </w:rPr>
              <w:t>2</w:t>
            </w:r>
            <w:r w:rsidRPr="006A01AD">
              <w:rPr>
                <w:caps/>
              </w:rPr>
              <w:t>)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Çmimi (i/m</w:t>
            </w:r>
            <w:r w:rsidRPr="006A01AD">
              <w:rPr>
                <w:caps/>
                <w:vertAlign w:val="superscript"/>
              </w:rPr>
              <w:t>2</w:t>
            </w:r>
            <w:r w:rsidRPr="006A01AD">
              <w:rPr>
                <w:caps/>
              </w:rPr>
              <w:t>)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Vlera (lek</w:t>
            </w:r>
            <w:r>
              <w:rPr>
                <w:caps/>
              </w:rPr>
              <w:t>ë</w:t>
            </w:r>
            <w:r w:rsidRPr="006A01AD">
              <w:rPr>
                <w:caps/>
              </w:rPr>
              <w:t>)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Shënime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Vllasi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Divia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3/276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8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96000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2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Vllasi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Divia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3/277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3.7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44400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3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Nasi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Divia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3/280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4.6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55200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4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 xml:space="preserve">Themi 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Divia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3/281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2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24000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5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 xml:space="preserve">Marie 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Doko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3/273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1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6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6A01AD">
                  <w:rPr>
                    <w:caps/>
                  </w:rPr>
                  <w:t>Edmond</w:t>
                </w:r>
              </w:smartTag>
            </w:smartTag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Lumani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3/216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36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432000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7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6A01AD">
                  <w:rPr>
                    <w:caps/>
                  </w:rPr>
                  <w:t>Edmond</w:t>
                </w:r>
              </w:smartTag>
            </w:smartTag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Lumani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3/214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13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156000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8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Shpëtim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Rizai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2/120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25.6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307200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9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Elida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Këpucka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2/310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22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264000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10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Qazim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Sopjani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2/87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79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948000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11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Artian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Xhemaj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2/164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140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1680000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Todi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Sako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2/125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21.6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25900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13</w:t>
            </w:r>
          </w:p>
        </w:tc>
        <w:tc>
          <w:tcPr>
            <w:tcW w:w="2828" w:type="dxa"/>
            <w:gridSpan w:val="2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Dorina Morina (bashk)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2/444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86.2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1034400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14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 xml:space="preserve">Gazmend 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Morina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2/445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94.1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1129200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15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Sadik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Morina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2/446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98.9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1186800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16</w:t>
            </w:r>
          </w:p>
        </w:tc>
        <w:tc>
          <w:tcPr>
            <w:tcW w:w="2828" w:type="dxa"/>
            <w:gridSpan w:val="2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Gazmend Morina (bash)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2/447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33.3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399600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17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Juanis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Fejzulla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2/437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13.7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164400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  <w:r w:rsidRPr="006A01AD">
              <w:t>18</w:t>
            </w: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Sefer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>Murati</w:t>
            </w: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  <w:r w:rsidRPr="006A01AD">
              <w:t>8532</w:t>
            </w: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  <w:r w:rsidRPr="006A01AD">
              <w:t>3/588</w:t>
            </w: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  <w:r w:rsidRPr="006A01AD">
              <w:t xml:space="preserve">Truall </w:t>
            </w: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108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12000</w:t>
            </w: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1296000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  <w:r w:rsidRPr="006A01AD">
              <w:t>KONF.NGA 1.R.P.P</w:t>
            </w:r>
          </w:p>
        </w:tc>
      </w:tr>
      <w:tr w:rsidR="007E5484" w:rsidRPr="006A01AD" w:rsidTr="007E5484">
        <w:trPr>
          <w:jc w:val="center"/>
        </w:trPr>
        <w:tc>
          <w:tcPr>
            <w:tcW w:w="571" w:type="dxa"/>
          </w:tcPr>
          <w:p w:rsidR="007E5484" w:rsidRPr="006A01AD" w:rsidRDefault="007E5484" w:rsidP="007E5484">
            <w:pPr>
              <w:pStyle w:val="Tabele"/>
            </w:pPr>
          </w:p>
        </w:tc>
        <w:tc>
          <w:tcPr>
            <w:tcW w:w="1234" w:type="dxa"/>
          </w:tcPr>
          <w:p w:rsidR="007E5484" w:rsidRPr="006A01AD" w:rsidRDefault="007E5484" w:rsidP="007E5484">
            <w:pPr>
              <w:pStyle w:val="Tabele"/>
            </w:pPr>
            <w:r w:rsidRPr="006A01AD">
              <w:rPr>
                <w:caps/>
              </w:rPr>
              <w:t xml:space="preserve">Shuma </w:t>
            </w:r>
          </w:p>
        </w:tc>
        <w:tc>
          <w:tcPr>
            <w:tcW w:w="1594" w:type="dxa"/>
          </w:tcPr>
          <w:p w:rsidR="007E5484" w:rsidRPr="006A01AD" w:rsidRDefault="007E5484" w:rsidP="007E5484">
            <w:pPr>
              <w:pStyle w:val="Tabele"/>
            </w:pPr>
          </w:p>
        </w:tc>
        <w:tc>
          <w:tcPr>
            <w:tcW w:w="977" w:type="dxa"/>
          </w:tcPr>
          <w:p w:rsidR="007E5484" w:rsidRPr="006A01AD" w:rsidRDefault="007E5484" w:rsidP="007E5484">
            <w:pPr>
              <w:pStyle w:val="Tabele"/>
            </w:pPr>
          </w:p>
        </w:tc>
        <w:tc>
          <w:tcPr>
            <w:tcW w:w="1350" w:type="dxa"/>
          </w:tcPr>
          <w:p w:rsidR="007E5484" w:rsidRPr="006A01AD" w:rsidRDefault="007E5484" w:rsidP="007E5484">
            <w:pPr>
              <w:pStyle w:val="Tabele"/>
            </w:pPr>
          </w:p>
        </w:tc>
        <w:tc>
          <w:tcPr>
            <w:tcW w:w="1017" w:type="dxa"/>
          </w:tcPr>
          <w:p w:rsidR="007E5484" w:rsidRPr="006A01AD" w:rsidRDefault="007E5484" w:rsidP="007E5484">
            <w:pPr>
              <w:pStyle w:val="Tabele"/>
            </w:pPr>
          </w:p>
        </w:tc>
        <w:tc>
          <w:tcPr>
            <w:tcW w:w="1068" w:type="dxa"/>
          </w:tcPr>
          <w:p w:rsidR="007E5484" w:rsidRPr="006A01AD" w:rsidRDefault="007E5484" w:rsidP="007E5484">
            <w:pPr>
              <w:pStyle w:val="Tabele"/>
            </w:pPr>
            <w:r w:rsidRPr="006A01AD">
              <w:t>790.7</w:t>
            </w:r>
          </w:p>
        </w:tc>
        <w:tc>
          <w:tcPr>
            <w:tcW w:w="1592" w:type="dxa"/>
          </w:tcPr>
          <w:p w:rsidR="007E5484" w:rsidRPr="006A01AD" w:rsidRDefault="007E5484" w:rsidP="007E5484">
            <w:pPr>
              <w:pStyle w:val="Tabele"/>
            </w:pPr>
          </w:p>
        </w:tc>
        <w:tc>
          <w:tcPr>
            <w:tcW w:w="1243" w:type="dxa"/>
          </w:tcPr>
          <w:p w:rsidR="007E5484" w:rsidRPr="006A01AD" w:rsidRDefault="007E5484" w:rsidP="007E5484">
            <w:pPr>
              <w:pStyle w:val="Tabele"/>
            </w:pPr>
            <w:r w:rsidRPr="006A01AD">
              <w:t>9488400</w:t>
            </w:r>
          </w:p>
        </w:tc>
        <w:tc>
          <w:tcPr>
            <w:tcW w:w="2226" w:type="dxa"/>
          </w:tcPr>
          <w:p w:rsidR="007E5484" w:rsidRPr="006A01AD" w:rsidRDefault="007E5484" w:rsidP="007E5484">
            <w:pPr>
              <w:pStyle w:val="Tabele"/>
            </w:pPr>
          </w:p>
        </w:tc>
      </w:tr>
    </w:tbl>
    <w:p w:rsidR="007E5484" w:rsidRPr="006A01AD" w:rsidRDefault="007E5484" w:rsidP="007E5484">
      <w:pPr>
        <w:pStyle w:val="Tabele"/>
      </w:pPr>
    </w:p>
    <w:sectPr w:rsidR="007E5484" w:rsidRPr="006A01AD" w:rsidSect="007E5484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80495">
      <w:r>
        <w:separator/>
      </w:r>
    </w:p>
  </w:endnote>
  <w:endnote w:type="continuationSeparator" w:id="0">
    <w:p w:rsidR="00000000" w:rsidRDefault="00B80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9EF" w:rsidRDefault="009A09EF" w:rsidP="007E548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A09EF" w:rsidRDefault="009A09EF" w:rsidP="007E548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9EF" w:rsidRPr="00271C3E" w:rsidRDefault="009A09EF" w:rsidP="007E548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71C3E">
      <w:rPr>
        <w:rStyle w:val="PageNumber"/>
        <w:rFonts w:ascii="CG Times" w:hAnsi="CG Times"/>
        <w:sz w:val="22"/>
        <w:szCs w:val="22"/>
      </w:rPr>
      <w:fldChar w:fldCharType="begin"/>
    </w:r>
    <w:r w:rsidRPr="00271C3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71C3E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8121</w:t>
    </w:r>
    <w:r w:rsidRPr="00271C3E">
      <w:rPr>
        <w:rStyle w:val="PageNumber"/>
        <w:rFonts w:ascii="CG Times" w:hAnsi="CG Times"/>
        <w:sz w:val="22"/>
        <w:szCs w:val="22"/>
      </w:rPr>
      <w:fldChar w:fldCharType="end"/>
    </w:r>
  </w:p>
  <w:p w:rsidR="009A09EF" w:rsidRDefault="009A09EF" w:rsidP="007E548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80495">
      <w:r>
        <w:separator/>
      </w:r>
    </w:p>
  </w:footnote>
  <w:footnote w:type="continuationSeparator" w:id="0">
    <w:p w:rsidR="00000000" w:rsidRDefault="00B80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548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484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09EF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495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9FA998-ED27-4FB9-8250-6BAA7B76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484"/>
    <w:rPr>
      <w:rFonts w:eastAsia="Batang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ParagrafiChar">
    <w:name w:val="Paragrafi Char"/>
    <w:basedOn w:val="DefaultParagraphFont"/>
    <w:link w:val="Paragrafi"/>
    <w:rsid w:val="009A09EF"/>
    <w:rPr>
      <w:rFonts w:ascii="CG Times" w:eastAsia="MS Mincho" w:hAnsi="CG Times"/>
      <w:sz w:val="22"/>
      <w:lang w:val="en-US" w:eastAsia="en-US" w:bidi="ar-SA"/>
    </w:rPr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0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7E548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5484"/>
  </w:style>
  <w:style w:type="character" w:customStyle="1" w:styleId="AutoritetiChar">
    <w:name w:val="Autoriteti Char"/>
    <w:basedOn w:val="DefaultParagraphFont"/>
    <w:link w:val="Autoriteti"/>
    <w:rsid w:val="007E548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