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9D4" w:rsidRPr="00DE4A0C" w:rsidRDefault="00AC39D4" w:rsidP="00AC39D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AC39D4" w:rsidRPr="00DE4A0C" w:rsidRDefault="00AC39D4" w:rsidP="00AC39D4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Nr.267, datë 21.4.2010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PËRCAKTIMIN E RREGULLAVE PËR BASHKËRENDIMIN E PUNËS  SË  ALUIZNI-T ME ZYRËN E REGJISTRIMIT TË PASURIVE TË PALUAJTSHME DHE AGJENCINË E KTHIMIT DHE KOMPENSIMIT TË PRONAVE, PËR PROCEDURAT E KALIMIT TË SË DREJTËS SË PRONËSISË MBI TRUALLIN SHTETËROR NË ZONAT ME PËRPARËSI TURIZMIN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 dhe të nenit 7 të ligjit nr.10 186, datë 5.11.2009 “Për rregullimin e pronësisë mbi truallin shtetëror në zonat me përparësi turizmin”, me propozimin e Ministrit të Punëve Publike dhe Transportit e të Ministrit të Drejtësisë, Këshilli i Ministrave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Agjencia e Legalizimit, Urbanizimit dhe Integrimit të Zonave/Ndërtimeve Informale (ALUIZNI) bën verifikimi në terren të njësive të ndërtuara menjëherë pas paraqitjes së kërkesës dhe pas kryerjes së parapagesës së tarifës nga subjekti i interesuar apo personi i stimuluar.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ALUIZNI, për verifikimin e gjendjes juridike të pronës, brenda 30 (tridhjetë) ditëve nga përfundimi i verifikimit në terren i njësisë ndërtimore, kërkon nga zyra vendore e regjistrimit të pasurive të paluajtshme (ZVRPP) informacion për gjendjen juridike të zonës së stimuluar, të shoqëruar me kopjen e dokumentacionit që disponohet (kartelë apo regjistër hipotekor, hartë treguese të pasurisë, dokumentacioni ligjor i regjistrimit të pasurive dhe i transaksioneve të mundshme).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Nëse ZVRPP-ja konfirmon se zona e stimuluar është pronë shtetërore, ALUIZNI bashkërendon punën edhe me Agjencinë e Kthimit dhe Kompensimit të Pronave (AKKP) për të evidentuar, kur është e mundur, nëse ka:</w:t>
      </w:r>
    </w:p>
    <w:p w:rsidR="00AC39D4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vendime të ish-komisioneve të kthimit dhe kompensimit të pronës, pranë bashkive ose këshillave të qarkut, ose të Agjencisë së Kthimit dhe Kompensimit të Pronave për njohje, kthim ose kompensim të pronës.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kërkesa në proces shqyrtimi, të depozituara nga subjekte, të cilat pretendojnë të drejtën e pronësisë mbi zonën e stimuluar.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Kërkesa për marrjen e informacionit i dërgohet AKKP-së, pas përfundimit të afatit të parashikuar në ligj, për paraqitjen e kërkesave nga subjektet e interesuara apo personat e stimuluar.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4. Institucionet e përmendura në pikat 2 e 3 të këtij vendimi, e dërgojnë informacionin e kërkuar, pranë drejtorisë qendrore të ALUIZNI-t, brenda 30 (tridhjetë) ditëve nga data e marrjes së kërkesës.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5. ALUIZNI, pas verifikimeve të mësipërme, harton relacionin shpjegues sipas pikës 3 të nenit 7 të ligjit nr.10 186, datë 5.11.2009 “Për rregullimin e pronësisë mbi truallin shtetëror në zonat me përparësi turizmin”.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6. Ngarkohen Agjencia e Legalizimit, Urbanizimit dhe Integrimit të Zonave/Ndërtimeve Informale, Zyra e Regjistrimit të Pasurive të Paluajtshme dhe Agjencia e Kthimit dhe Kompensimit të Pronave për zbatimin e këtij vendimi.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pas botimit në Fletoren Zyrtare.</w:t>
      </w:r>
    </w:p>
    <w:p w:rsidR="00AC39D4" w:rsidRPr="00DE4A0C" w:rsidRDefault="00AC39D4" w:rsidP="00AC39D4">
      <w:pPr>
        <w:pStyle w:val="Paragrafi0"/>
        <w:rPr>
          <w:sz w:val="21"/>
          <w:szCs w:val="21"/>
          <w:lang w:val="sq-AL"/>
        </w:rPr>
      </w:pPr>
    </w:p>
    <w:p w:rsidR="00AC39D4" w:rsidRPr="00DE4A0C" w:rsidRDefault="00AC39D4" w:rsidP="00AC39D4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AC39D4" w:rsidRPr="00DE4A0C" w:rsidRDefault="00AC39D4" w:rsidP="00AC39D4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Sali Berisha </w:t>
      </w:r>
    </w:p>
    <w:sectPr w:rsidR="00AC39D4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39D4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1C44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39D4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E30D9E-D7FD-4C76-AB6F-411BA516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C39D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C39D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