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8AC" w:rsidRPr="00F7071E" w:rsidRDefault="004668AC" w:rsidP="004668AC">
      <w:pPr>
        <w:pStyle w:val="Akti"/>
        <w:keepNext w:val="0"/>
      </w:pPr>
      <w:bookmarkStart w:id="0" w:name="_GoBack"/>
      <w:bookmarkEnd w:id="0"/>
      <w:r w:rsidRPr="00F7071E">
        <w:t xml:space="preserve">Vendim </w:t>
      </w:r>
    </w:p>
    <w:p w:rsidR="004668AC" w:rsidRDefault="004668AC" w:rsidP="004668AC">
      <w:pPr>
        <w:pStyle w:val="NumriData"/>
        <w:keepNext w:val="0"/>
      </w:pPr>
      <w:r>
        <w:t>Nr.290, datë 28.4.2010</w:t>
      </w: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Titulli0"/>
        <w:keepNext w:val="0"/>
      </w:pPr>
      <w:r>
        <w:t>Për disa ndryshime dhe shtesa në vendimin nr.453, datë 23.6.2005 të Këshillit të Ministrave “për miratimin e listës së Pajisjeve, që përdorin lëndë ozonholluese, të cilat ndalohen të prodhohen e të importohen, si dhe rregullat e procedurat e zëvendësimit të lëndëve ozonholluese në pajisjet ekzistuese”</w:t>
      </w: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BazLigjPropozues"/>
        <w:keepNext w:val="0"/>
      </w:pPr>
      <w:r>
        <w:t>Në mbështetje të nenit 100 të Kushtetutës dhe të pikës 2 të nenit 17 të ligjit nr.8934, datë 5.9.2002 “Për mbrojtjen e mjedisit”, të ndryshuar, me propozimin e Ministrit të Mjedisit, Pyjeve dhe Administrimit të Ujërave, Këshilli i Ministrave</w:t>
      </w: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VENDOSI0"/>
        <w:keepNext w:val="0"/>
      </w:pPr>
      <w:r>
        <w:t>Vendosi:</w:t>
      </w: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Paragrafi0"/>
      </w:pPr>
      <w:r>
        <w:t>Në vendimin nr.453, datë 23.6.2005 të Këshillit të Ministrave, bëhen ndryshimet dhe shtesat, si më poshtë vijon:</w:t>
      </w:r>
    </w:p>
    <w:p w:rsidR="004668AC" w:rsidRDefault="004668AC" w:rsidP="004668AC">
      <w:pPr>
        <w:pStyle w:val="Paragrafi0"/>
      </w:pPr>
      <w:r>
        <w:t>1. Në shkronjën “a” të pikës 1 fjalët “…aneksi D…” zëvendësohen me fjalët “…aneksin E…”.</w:t>
      </w:r>
    </w:p>
    <w:p w:rsidR="004668AC" w:rsidRDefault="004668AC" w:rsidP="004668AC">
      <w:pPr>
        <w:pStyle w:val="Paragrafi0"/>
      </w:pPr>
      <w:r>
        <w:t>2. Shkronja “b” e pikës 1 ndryshohet, si më poshtë vijon:</w:t>
      </w:r>
    </w:p>
    <w:p w:rsidR="004668AC" w:rsidRDefault="004668AC" w:rsidP="004668AC">
      <w:pPr>
        <w:pStyle w:val="Paragrafi0"/>
      </w:pPr>
      <w:r>
        <w:t>“b) Produktet që përmbajnë lëndët ozonholluese apo që janë prodhuar me to, sipas anekseve A, B (grupet I, II, e III), C (grupi II) dhe E (grupi I) të protokollit të Montrealit, të përcaktuara në shtojcën 2, që i bashkëlidhet këtij vendimi.”.</w:t>
      </w:r>
    </w:p>
    <w:p w:rsidR="004668AC" w:rsidRDefault="004668AC" w:rsidP="004668AC">
      <w:pPr>
        <w:pStyle w:val="Paragrafi0"/>
      </w:pPr>
      <w:r>
        <w:t>3. Pika 7 ndryshohet, si më poshtë vijon:</w:t>
      </w:r>
    </w:p>
    <w:p w:rsidR="004668AC" w:rsidRDefault="004668AC" w:rsidP="004668AC">
      <w:pPr>
        <w:pStyle w:val="Paragrafi0"/>
      </w:pPr>
      <w:r>
        <w:t>“7. “Riciklim i lëndëve ozonholluese” është pastrimi me anë të ndarjes së vajit dhe filtrimit të substancave ozonholluese të grumbulluara, me qëllim ripërdorimin e tyre.”.</w:t>
      </w: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Paragrafi0"/>
      </w:pPr>
    </w:p>
    <w:p w:rsidR="004668AC" w:rsidRDefault="004668AC" w:rsidP="004668AC">
      <w:pPr>
        <w:pStyle w:val="Paragrafi0"/>
      </w:pPr>
      <w:r w:rsidRPr="00AF58AB">
        <w:t>4. N</w:t>
      </w:r>
      <w:r>
        <w:t>ë p</w:t>
      </w:r>
      <w:r w:rsidRPr="00AF58AB">
        <w:t>ik</w:t>
      </w:r>
      <w:r>
        <w:t>ë</w:t>
      </w:r>
      <w:r w:rsidRPr="00AF58AB">
        <w:t>n 10, em</w:t>
      </w:r>
      <w:r>
        <w:t>ë</w:t>
      </w:r>
      <w:r w:rsidRPr="00AF58AB">
        <w:t>rtesa “Nj</w:t>
      </w:r>
      <w:r>
        <w:t>ë</w:t>
      </w:r>
      <w:r w:rsidRPr="00AF58AB">
        <w:t>sia Komb</w:t>
      </w:r>
      <w:r>
        <w:t>ë</w:t>
      </w:r>
      <w:r w:rsidRPr="00AF58AB">
        <w:t xml:space="preserve">tare e Ozonit dhe </w:t>
      </w:r>
      <w:r>
        <w:t xml:space="preserve">e </w:t>
      </w:r>
      <w:r w:rsidRPr="00AF58AB">
        <w:t>Menaxhimit t</w:t>
      </w:r>
      <w:r>
        <w:t>ë</w:t>
      </w:r>
      <w:r w:rsidRPr="00AF58AB">
        <w:t xml:space="preserve"> Projekteve” z</w:t>
      </w:r>
      <w:r>
        <w:t>ë</w:t>
      </w:r>
      <w:r w:rsidRPr="00AF58AB">
        <w:t>vend</w:t>
      </w:r>
      <w:r>
        <w:t>ë</w:t>
      </w:r>
      <w:r w:rsidRPr="00AF58AB">
        <w:t>sohen me “Nj</w:t>
      </w:r>
      <w:r>
        <w:t>ësi K</w:t>
      </w:r>
      <w:r w:rsidRPr="00AF58AB">
        <w:t>omb</w:t>
      </w:r>
      <w:r>
        <w:t>ë</w:t>
      </w:r>
      <w:r w:rsidRPr="00AF58AB">
        <w:t>tare e Ozonit dhe Administrimit t</w:t>
      </w:r>
      <w:r>
        <w:t>ë</w:t>
      </w:r>
      <w:r w:rsidRPr="00AF58AB">
        <w:t xml:space="preserve"> Projekteve (m</w:t>
      </w:r>
      <w:r>
        <w:t>ë</w:t>
      </w:r>
      <w:r w:rsidRPr="00AF58AB">
        <w:t xml:space="preserve"> posht</w:t>
      </w:r>
      <w:r>
        <w:t>ë</w:t>
      </w:r>
      <w:r w:rsidRPr="00AF58AB">
        <w:t>, Nj</w:t>
      </w:r>
      <w:r>
        <w:t>ë</w:t>
      </w:r>
      <w:r w:rsidRPr="00AF58AB">
        <w:t>sia Komb</w:t>
      </w:r>
      <w:r>
        <w:t>ë</w:t>
      </w:r>
      <w:r w:rsidRPr="00AF58AB">
        <w:t>tare e Ozonit, NOPIU)</w:t>
      </w:r>
      <w:r>
        <w:t>.”.</w:t>
      </w:r>
    </w:p>
    <w:p w:rsidR="004668AC" w:rsidRDefault="004668AC" w:rsidP="004668AC">
      <w:pPr>
        <w:pStyle w:val="Paragrafi0"/>
      </w:pPr>
      <w:r>
        <w:t>5. Në pikën 1 të kreut II, shkronjat “a” e “b” ndryshohen, si më poshtë vijon:</w:t>
      </w:r>
    </w:p>
    <w:p w:rsidR="004668AC" w:rsidRDefault="004668AC" w:rsidP="004668AC">
      <w:pPr>
        <w:pStyle w:val="Paragrafi0"/>
      </w:pPr>
      <w:r>
        <w:t>“a. Prodhimi i substancave ozonholluese, i produkteve dhe i përzierjeve, që i përmbajnë lëndë të përcaktuara në anekset A, B, C dhe E të protokollit të Montrealit;</w:t>
      </w:r>
    </w:p>
    <w:p w:rsidR="004668AC" w:rsidRDefault="004668AC" w:rsidP="004668AC">
      <w:pPr>
        <w:pStyle w:val="Paragrafi0"/>
      </w:pPr>
      <w:r>
        <w:t>b. Importimi e hedhja në treg, eksportimi e tranzitimi i produkteve dhe i përzierjeve që përmbajnë substanca ozonholluese dhe i pajisjeve që i përdorin, të përcaktuara në anekset A, B, C dhe E të protokollit të Montrealit.”.</w:t>
      </w:r>
    </w:p>
    <w:p w:rsidR="004668AC" w:rsidRDefault="004668AC" w:rsidP="004668AC">
      <w:pPr>
        <w:pStyle w:val="Paragrafi0"/>
      </w:pPr>
      <w:r>
        <w:t>6. Pas shkronjës “e” shtohet shkronja “ë”, me këtë përmbajtje:</w:t>
      </w:r>
    </w:p>
    <w:p w:rsidR="004668AC" w:rsidRDefault="004668AC" w:rsidP="004668AC">
      <w:pPr>
        <w:pStyle w:val="Paragrafi0"/>
      </w:pPr>
      <w:r>
        <w:t>“ë. Importimi i pajisjeve ftohëse, të përdorura, të përcaktuara në shtojcën 3, që i bashkëlidhet vendimit.”.</w:t>
      </w:r>
    </w:p>
    <w:p w:rsidR="004668AC" w:rsidRPr="007018BC" w:rsidRDefault="004668AC" w:rsidP="004668AC">
      <w:pPr>
        <w:pStyle w:val="Paragrafi0"/>
      </w:pPr>
      <w:r>
        <w:t>7. Pika 2</w:t>
      </w:r>
      <w:r w:rsidRPr="007018BC">
        <w:t xml:space="preserve"> e kreut II, ndryshohet, si më poshtë vijon:</w:t>
      </w:r>
    </w:p>
    <w:p w:rsidR="004668AC" w:rsidRPr="007018BC" w:rsidRDefault="004668AC" w:rsidP="004668AC">
      <w:pPr>
        <w:pStyle w:val="Paragrafi0"/>
      </w:pPr>
      <w:r>
        <w:t>“2. Im</w:t>
      </w:r>
      <w:r w:rsidRPr="007018BC">
        <w:t xml:space="preserve">portimi i substancave ozonholluese, të përfshira në aneksin </w:t>
      </w:r>
      <w:r>
        <w:t>C, grupi I</w:t>
      </w:r>
      <w:r w:rsidRPr="007018BC">
        <w:t xml:space="preserve"> të shtojcës 1, lejohet vetëm mbi bazën e kuotave vjetore, të përcaktuara në diagramën e</w:t>
      </w:r>
      <w:r>
        <w:t xml:space="preserve"> tyre, të miratuar për Shqipëri</w:t>
      </w:r>
      <w:r w:rsidRPr="007018BC">
        <w:t>në, e cila përfshihet në planin kombëtar për heqjen e tyre nga përdorimi.</w:t>
      </w:r>
    </w:p>
    <w:p w:rsidR="004668AC" w:rsidRPr="007018BC" w:rsidRDefault="004668AC" w:rsidP="004668AC">
      <w:pPr>
        <w:pStyle w:val="Paragrafi0"/>
      </w:pPr>
      <w:r w:rsidRPr="007018BC">
        <w:t xml:space="preserve">Diagrama, që i bashkëlidhet këtij vendimi, </w:t>
      </w:r>
      <w:r>
        <w:t>zëvendëson shtojcën 4</w:t>
      </w:r>
      <w:r w:rsidRPr="007018BC">
        <w:t xml:space="preserve"> të vendimit, e cila shfuqizohet.”.</w:t>
      </w:r>
    </w:p>
    <w:p w:rsidR="004668AC" w:rsidRDefault="004668AC" w:rsidP="004668AC">
      <w:pPr>
        <w:pStyle w:val="Paragrafi0"/>
      </w:pPr>
      <w:r w:rsidRPr="001B18E4">
        <w:t>8. Pas pik</w:t>
      </w:r>
      <w:r>
        <w:t>ës 6</w:t>
      </w:r>
      <w:r w:rsidRPr="001B18E4">
        <w:t xml:space="preserve"> t</w:t>
      </w:r>
      <w:r>
        <w:t>ë</w:t>
      </w:r>
      <w:r w:rsidRPr="001B18E4">
        <w:t xml:space="preserve"> kreut I</w:t>
      </w:r>
      <w:r>
        <w:t>I, shtohen pikat 7, 8 e 9, me këtë përmbajtje:</w:t>
      </w:r>
    </w:p>
    <w:p w:rsidR="004668AC" w:rsidRDefault="004668AC" w:rsidP="004668AC">
      <w:pPr>
        <w:pStyle w:val="Paragrafi0"/>
      </w:pPr>
      <w:r>
        <w:t>“7. Kodet tarifore (NC) të substancave ozonholluese, që përmenden në shtojcën 1, janë si më poshtë vijon:</w:t>
      </w:r>
    </w:p>
    <w:p w:rsidR="004668AC" w:rsidRDefault="004668AC" w:rsidP="004668AC">
      <w:pPr>
        <w:pStyle w:val="Paragrafi0"/>
      </w:pPr>
      <w:r w:rsidRPr="00A1706B">
        <w:t>a) Kodi tarifor (NC) i substanc</w:t>
      </w:r>
      <w:r>
        <w:t>ë</w:t>
      </w:r>
      <w:r w:rsidRPr="00A1706B">
        <w:t>s</w:t>
      </w:r>
      <w:r>
        <w:t xml:space="preserve"> ozonholluese klorodifluorometan CHFCl 2 (HCFC-22) ose R-22, është 2903 49 11;</w:t>
      </w:r>
    </w:p>
    <w:p w:rsidR="004668AC" w:rsidRPr="00055D7F" w:rsidRDefault="004668AC" w:rsidP="004668AC">
      <w:pPr>
        <w:pStyle w:val="Paragrafi0"/>
      </w:pPr>
      <w:r w:rsidRPr="00055D7F">
        <w:lastRenderedPageBreak/>
        <w:t>b) Kodi tarifor i p</w:t>
      </w:r>
      <w:r>
        <w:t>ë</w:t>
      </w:r>
      <w:r w:rsidRPr="00055D7F">
        <w:t>rzierjeve q</w:t>
      </w:r>
      <w:r>
        <w:t>ë</w:t>
      </w:r>
      <w:r w:rsidRPr="00055D7F">
        <w:t xml:space="preserve"> p</w:t>
      </w:r>
      <w:r>
        <w:t>ë</w:t>
      </w:r>
      <w:r w:rsidRPr="00055D7F">
        <w:t>rmbajn</w:t>
      </w:r>
      <w:r>
        <w:t>ë</w:t>
      </w:r>
      <w:r w:rsidRPr="00055D7F">
        <w:t xml:space="preserve"> klorofluorkarbone CFC, por nuk p</w:t>
      </w:r>
      <w:r>
        <w:t>ë</w:t>
      </w:r>
      <w:r w:rsidRPr="00055D7F">
        <w:t>rmbajn</w:t>
      </w:r>
      <w:r>
        <w:t>ë</w:t>
      </w:r>
      <w:r w:rsidRPr="00055D7F">
        <w:t xml:space="preserve"> HCFCs HFC</w:t>
      </w:r>
      <w:r>
        <w:t xml:space="preserve"> PFC</w:t>
      </w:r>
      <w:r w:rsidRPr="00055D7F">
        <w:t xml:space="preserve"> (aneksi A, grupi I), </w:t>
      </w:r>
      <w:r>
        <w:t>ë</w:t>
      </w:r>
      <w:r w:rsidRPr="00055D7F">
        <w:t>sht</w:t>
      </w:r>
      <w:r>
        <w:t>ë</w:t>
      </w:r>
      <w:r w:rsidRPr="00055D7F">
        <w:t xml:space="preserve"> 3824 71 00;</w:t>
      </w:r>
    </w:p>
    <w:p w:rsidR="004668AC" w:rsidRDefault="004668AC" w:rsidP="004668AC">
      <w:pPr>
        <w:pStyle w:val="Paragrafi0"/>
      </w:pPr>
      <w:r>
        <w:t>c) Kodi tarifor i përzierjeve që përmbajnë tetraklorur karboni (aneksi B, grupi II), është 3824 75 00;</w:t>
      </w:r>
    </w:p>
    <w:p w:rsidR="004668AC" w:rsidRDefault="004668AC" w:rsidP="004668AC">
      <w:pPr>
        <w:pStyle w:val="Paragrafi0"/>
      </w:pPr>
      <w:r>
        <w:t xml:space="preserve">ç) Kodi tarifor i përzierjeve që përmbajnë metilkloroform (aneksi B, grupi III), është 3824 76 00; </w:t>
      </w:r>
    </w:p>
    <w:p w:rsidR="004668AC" w:rsidRDefault="004668AC" w:rsidP="004668AC">
      <w:pPr>
        <w:pStyle w:val="Paragrafi0"/>
      </w:pPr>
      <w:r>
        <w:t>d) Kodi tarifor i përzierjeve që përmbajnë hidroklorofluorkarbonet e halogjenuara, HCFC (aneksi C, grupi I), por nuk përmbajnë CFCs, HFC,HFC,PFC, është 3824 74 00;</w:t>
      </w:r>
    </w:p>
    <w:p w:rsidR="004668AC" w:rsidRDefault="004668AC" w:rsidP="004668AC">
      <w:pPr>
        <w:pStyle w:val="Paragrafi0"/>
      </w:pPr>
      <w:r>
        <w:t>dh) Kodi tarifor i përzierjeve që përmbajnë hidrobromfluorokarbonet (aneksi C, grupi II), është 3824 77 00;</w:t>
      </w:r>
    </w:p>
    <w:p w:rsidR="004668AC" w:rsidRPr="002A64C1" w:rsidRDefault="004668AC" w:rsidP="004668AC">
      <w:pPr>
        <w:pStyle w:val="Paragrafi0"/>
        <w:rPr>
          <w:lang w:val="it-IT"/>
        </w:rPr>
      </w:pPr>
      <w:r w:rsidRPr="002A64C1">
        <w:rPr>
          <w:lang w:val="it-IT"/>
        </w:rPr>
        <w:t>e) Kodi tarifor i p</w:t>
      </w:r>
      <w:r>
        <w:rPr>
          <w:lang w:val="it-IT"/>
        </w:rPr>
        <w:t>ë</w:t>
      </w:r>
      <w:r w:rsidRPr="002A64C1">
        <w:rPr>
          <w:lang w:val="it-IT"/>
        </w:rPr>
        <w:t>rzierjeve q</w:t>
      </w:r>
      <w:r>
        <w:rPr>
          <w:lang w:val="it-IT"/>
        </w:rPr>
        <w:t>ë</w:t>
      </w:r>
      <w:r w:rsidRPr="002A64C1">
        <w:rPr>
          <w:lang w:val="it-IT"/>
        </w:rPr>
        <w:t xml:space="preserve"> p</w:t>
      </w:r>
      <w:r>
        <w:rPr>
          <w:lang w:val="it-IT"/>
        </w:rPr>
        <w:t>ë</w:t>
      </w:r>
      <w:r w:rsidRPr="002A64C1">
        <w:rPr>
          <w:lang w:val="it-IT"/>
        </w:rPr>
        <w:t>rmbajn</w:t>
      </w:r>
      <w:r>
        <w:rPr>
          <w:lang w:val="it-IT"/>
        </w:rPr>
        <w:t>ë</w:t>
      </w:r>
      <w:r w:rsidRPr="002A64C1">
        <w:rPr>
          <w:lang w:val="it-IT"/>
        </w:rPr>
        <w:t xml:space="preserve"> bromur metili (aneksi E, grupi I), </w:t>
      </w:r>
      <w:r>
        <w:rPr>
          <w:lang w:val="it-IT"/>
        </w:rPr>
        <w:t>ë</w:t>
      </w:r>
      <w:r w:rsidRPr="002A64C1">
        <w:rPr>
          <w:lang w:val="it-IT"/>
        </w:rPr>
        <w:t>sht</w:t>
      </w:r>
      <w:r>
        <w:rPr>
          <w:lang w:val="it-IT"/>
        </w:rPr>
        <w:t>ë</w:t>
      </w:r>
      <w:r w:rsidRPr="002A64C1">
        <w:rPr>
          <w:lang w:val="it-IT"/>
        </w:rPr>
        <w:t xml:space="preserve"> 3824 73 00.</w:t>
      </w:r>
    </w:p>
    <w:p w:rsidR="004668AC" w:rsidRDefault="004668AC" w:rsidP="004668AC">
      <w:pPr>
        <w:pStyle w:val="Paragrafi0"/>
        <w:rPr>
          <w:lang w:val="it-IT"/>
        </w:rPr>
      </w:pPr>
      <w:r>
        <w:rPr>
          <w:lang w:val="it-IT"/>
        </w:rPr>
        <w:t>8. Kodi tarifor i përzierjeve që përmbajnë substanca ozonholluese jepet në shtojcën 6, që i bashkëlidhet këtij vendimi.</w:t>
      </w:r>
    </w:p>
    <w:p w:rsidR="004668AC" w:rsidRDefault="004668AC" w:rsidP="004668AC">
      <w:pPr>
        <w:pStyle w:val="Paragrafi0"/>
        <w:rPr>
          <w:lang w:val="it-IT"/>
        </w:rPr>
      </w:pPr>
      <w:r>
        <w:rPr>
          <w:lang w:val="it-IT"/>
        </w:rPr>
        <w:t>9. Importimi dhe tregtimi i pajisjeve dhe produkteve që përmbajnë lëndë ozonholluese bëhet nga subjekte të licencuara, në bazë të vetëdeklarimit me shkrim, se pajisjet dhe produktet e importuara nuk përmbajnë lëndë ozonholluese.”.</w:t>
      </w:r>
    </w:p>
    <w:p w:rsidR="004668AC" w:rsidRDefault="004668AC" w:rsidP="004668AC">
      <w:pPr>
        <w:pStyle w:val="Paragrafi0"/>
        <w:rPr>
          <w:lang w:val="it-IT"/>
        </w:rPr>
      </w:pPr>
      <w:r>
        <w:rPr>
          <w:lang w:val="it-IT"/>
        </w:rPr>
        <w:t>9. Shtojca 1 zëvendësohet me shtojcën me të njëjtin numër, që i bashkëlidhet këtij vendimi dhe është pjesë përbërëse e tij.</w:t>
      </w:r>
    </w:p>
    <w:p w:rsidR="004668AC" w:rsidRDefault="004668AC" w:rsidP="004668AC">
      <w:pPr>
        <w:pStyle w:val="Paragrafi0"/>
        <w:rPr>
          <w:lang w:val="it-IT"/>
        </w:rPr>
      </w:pPr>
      <w:r>
        <w:rPr>
          <w:lang w:val="it-IT"/>
        </w:rPr>
        <w:t>10. Pas shtojcës 5 shtohet shtojca 6, që i bashkëlidhet këtij vendimi dhe është pjesë përbërëse e tij.</w:t>
      </w:r>
    </w:p>
    <w:p w:rsidR="004668AC" w:rsidRDefault="004668AC" w:rsidP="004668AC">
      <w:pPr>
        <w:pStyle w:val="Paragrafi0"/>
        <w:rPr>
          <w:lang w:val="it-IT"/>
        </w:rPr>
      </w:pPr>
      <w:r w:rsidRPr="00D16DA3">
        <w:rPr>
          <w:lang w:val="it-IT"/>
        </w:rPr>
        <w:t>Ky vendim hyn n</w:t>
      </w:r>
      <w:r>
        <w:rPr>
          <w:lang w:val="it-IT"/>
        </w:rPr>
        <w:t>ë</w:t>
      </w:r>
      <w:r w:rsidRPr="00D16DA3">
        <w:rPr>
          <w:lang w:val="it-IT"/>
        </w:rPr>
        <w:t xml:space="preserve"> fuqi pas botimit</w:t>
      </w:r>
      <w:r>
        <w:rPr>
          <w:lang w:val="it-IT"/>
        </w:rPr>
        <w:t xml:space="preserve"> </w:t>
      </w:r>
      <w:r w:rsidRPr="00D16DA3">
        <w:rPr>
          <w:lang w:val="it-IT"/>
        </w:rPr>
        <w:t>n</w:t>
      </w:r>
      <w:r>
        <w:rPr>
          <w:lang w:val="it-IT"/>
        </w:rPr>
        <w:t>ë</w:t>
      </w:r>
      <w:r w:rsidRPr="00D16DA3">
        <w:rPr>
          <w:lang w:val="it-IT"/>
        </w:rPr>
        <w:t xml:space="preserve"> Fletoren Zyrtare</w:t>
      </w:r>
      <w:r>
        <w:rPr>
          <w:lang w:val="it-IT"/>
        </w:rPr>
        <w:t>.</w:t>
      </w:r>
    </w:p>
    <w:p w:rsidR="004668AC" w:rsidRDefault="004668AC" w:rsidP="004668AC">
      <w:pPr>
        <w:pStyle w:val="Paragrafi0"/>
        <w:rPr>
          <w:lang w:val="it-IT"/>
        </w:rPr>
      </w:pPr>
    </w:p>
    <w:p w:rsidR="004668AC" w:rsidRDefault="004668AC" w:rsidP="004668AC">
      <w:pPr>
        <w:pStyle w:val="Autoriteti"/>
        <w:keepNext w:val="0"/>
      </w:pPr>
      <w:r>
        <w:t xml:space="preserve">Kryeministri </w:t>
      </w:r>
    </w:p>
    <w:p w:rsidR="004668AC" w:rsidRDefault="004668AC" w:rsidP="004668AC">
      <w:pPr>
        <w:pStyle w:val="AutoritetiEmer"/>
      </w:pPr>
      <w:r>
        <w:t xml:space="preserve">Sali Berisha </w:t>
      </w:r>
    </w:p>
    <w:p w:rsidR="004668AC" w:rsidRDefault="004668AC" w:rsidP="004668AC">
      <w:pPr>
        <w:pStyle w:val="Paragrafi0"/>
        <w:rPr>
          <w:lang w:val="it-IT"/>
        </w:rPr>
      </w:pPr>
    </w:p>
    <w:p w:rsidR="004668AC" w:rsidRDefault="004668AC" w:rsidP="004668AC">
      <w:pPr>
        <w:pStyle w:val="Paragrafi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100E27" w:rsidP="004668AC">
      <w:pPr>
        <w:pStyle w:val="Paragrafi0"/>
        <w:ind w:firstLine="0"/>
        <w:jc w:val="center"/>
        <w:rPr>
          <w:lang w:val="it-IT"/>
        </w:rPr>
      </w:pPr>
      <w:r>
        <w:rPr>
          <w:noProof/>
        </w:rPr>
        <w:lastRenderedPageBreak/>
        <w:drawing>
          <wp:inline distT="0" distB="0" distL="0" distR="0">
            <wp:extent cx="5943600" cy="7886700"/>
            <wp:effectExtent l="0" t="0" r="0" b="0"/>
            <wp:docPr id="1" name="Picture 2" descr="F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100E27" w:rsidP="004668AC">
      <w:pPr>
        <w:pStyle w:val="Paragrafi0"/>
        <w:ind w:firstLine="0"/>
        <w:jc w:val="center"/>
        <w:rPr>
          <w:lang w:val="it-IT"/>
        </w:rPr>
      </w:pPr>
      <w:r>
        <w:rPr>
          <w:noProof/>
        </w:rPr>
        <w:lastRenderedPageBreak/>
        <w:drawing>
          <wp:inline distT="0" distB="0" distL="0" distR="0">
            <wp:extent cx="5657850" cy="8115300"/>
            <wp:effectExtent l="0" t="0" r="0" b="0"/>
            <wp:docPr id="2" name="Picture 3" descr="Fot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AC" w:rsidRDefault="00100E27" w:rsidP="004668AC">
      <w:pPr>
        <w:pStyle w:val="Paragrafi0"/>
        <w:ind w:firstLine="0"/>
        <w:jc w:val="center"/>
        <w:rPr>
          <w:lang w:val="it-IT"/>
        </w:rPr>
      </w:pPr>
      <w:r>
        <w:rPr>
          <w:noProof/>
        </w:rPr>
        <w:lastRenderedPageBreak/>
        <w:drawing>
          <wp:inline distT="0" distB="0" distL="0" distR="0">
            <wp:extent cx="5829300" cy="5381625"/>
            <wp:effectExtent l="0" t="0" r="0" b="9525"/>
            <wp:docPr id="3" name="Picture 4" descr="Fot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100E27" w:rsidP="004668AC">
      <w:pPr>
        <w:pStyle w:val="Paragrafi0"/>
        <w:ind w:firstLine="0"/>
        <w:rPr>
          <w:lang w:val="it-IT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5829300" cy="5715000"/>
            <wp:effectExtent l="0" t="0" r="0" b="0"/>
            <wp:wrapSquare wrapText="bothSides"/>
            <wp:docPr id="4" name="Picture 5" descr="Fot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-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rPr>
          <w:lang w:val="it-IT"/>
        </w:rPr>
      </w:pPr>
    </w:p>
    <w:p w:rsidR="004668AC" w:rsidRDefault="004668AC" w:rsidP="004668AC">
      <w:pPr>
        <w:pStyle w:val="Paragrafi0"/>
        <w:ind w:firstLine="0"/>
        <w:jc w:val="center"/>
        <w:rPr>
          <w:lang w:val="it-IT"/>
        </w:rPr>
      </w:pPr>
      <w:r>
        <w:rPr>
          <w:lang w:val="it-IT"/>
        </w:rPr>
        <w:t>Diagrama e kuotave vjetore të importit të HCFC së bashku me përzierjet e tyre</w:t>
      </w:r>
    </w:p>
    <w:p w:rsidR="004668AC" w:rsidRDefault="004668AC" w:rsidP="004668AC">
      <w:pPr>
        <w:pStyle w:val="Paragrafi0"/>
        <w:ind w:firstLine="0"/>
        <w:rPr>
          <w:lang w:val="it-IT"/>
        </w:rPr>
      </w:pPr>
    </w:p>
    <w:tbl>
      <w:tblPr>
        <w:tblStyle w:val="TableGrid"/>
        <w:tblW w:w="9411" w:type="dxa"/>
        <w:tblLook w:val="01E0" w:firstRow="1" w:lastRow="1" w:firstColumn="1" w:lastColumn="1" w:noHBand="0" w:noVBand="0"/>
      </w:tblPr>
      <w:tblGrid>
        <w:gridCol w:w="1108"/>
        <w:gridCol w:w="754"/>
        <w:gridCol w:w="630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4668AC" w:rsidRPr="004A1C18" w:rsidTr="004668AC">
        <w:tc>
          <w:tcPr>
            <w:tcW w:w="1108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Viti</w:t>
            </w:r>
          </w:p>
        </w:tc>
        <w:tc>
          <w:tcPr>
            <w:tcW w:w="754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2010</w:t>
            </w:r>
          </w:p>
        </w:tc>
        <w:tc>
          <w:tcPr>
            <w:tcW w:w="630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2017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2021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2023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2024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2025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2040</w:t>
            </w:r>
          </w:p>
        </w:tc>
      </w:tr>
      <w:tr w:rsidR="004668AC" w:rsidRPr="004A1C18" w:rsidTr="004668AC">
        <w:tc>
          <w:tcPr>
            <w:tcW w:w="1108" w:type="dxa"/>
          </w:tcPr>
          <w:p w:rsidR="004668AC" w:rsidRPr="004668AC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it-IT"/>
              </w:rPr>
            </w:pPr>
            <w:r w:rsidRPr="004668AC">
              <w:rPr>
                <w:sz w:val="18"/>
                <w:szCs w:val="18"/>
                <w:lang w:val="it-IT"/>
              </w:rPr>
              <w:t>Sasia e importuar e  HCFC ton/vit*</w:t>
            </w:r>
          </w:p>
        </w:tc>
        <w:tc>
          <w:tcPr>
            <w:tcW w:w="754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120</w:t>
            </w:r>
          </w:p>
        </w:tc>
        <w:tc>
          <w:tcPr>
            <w:tcW w:w="630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108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78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65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29</w:t>
            </w:r>
          </w:p>
        </w:tc>
      </w:tr>
      <w:tr w:rsidR="004668AC" w:rsidRPr="004A1C18" w:rsidTr="004668AC">
        <w:tc>
          <w:tcPr>
            <w:tcW w:w="1108" w:type="dxa"/>
          </w:tcPr>
          <w:p w:rsidR="004668AC" w:rsidRPr="004668AC" w:rsidRDefault="004668AC" w:rsidP="004668AC">
            <w:pPr>
              <w:pStyle w:val="Tabele"/>
              <w:widowControl w:val="0"/>
              <w:jc w:val="right"/>
              <w:rPr>
                <w:sz w:val="18"/>
                <w:szCs w:val="18"/>
                <w:lang w:val="it-IT"/>
              </w:rPr>
            </w:pPr>
            <w:r w:rsidRPr="004668AC">
              <w:rPr>
                <w:sz w:val="18"/>
                <w:szCs w:val="18"/>
                <w:lang w:val="it-IT"/>
              </w:rPr>
              <w:t>Sasia e pakësuar e importit në ton/vit</w:t>
            </w:r>
          </w:p>
        </w:tc>
        <w:tc>
          <w:tcPr>
            <w:tcW w:w="754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630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629" w:type="dxa"/>
          </w:tcPr>
          <w:p w:rsidR="004668AC" w:rsidRPr="004A1C18" w:rsidRDefault="004668AC" w:rsidP="004668AC">
            <w:pPr>
              <w:pStyle w:val="Tabele"/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4A1C18">
              <w:rPr>
                <w:sz w:val="18"/>
                <w:szCs w:val="18"/>
                <w:lang w:val="en-US"/>
              </w:rPr>
              <w:t>10</w:t>
            </w:r>
          </w:p>
        </w:tc>
      </w:tr>
    </w:tbl>
    <w:p w:rsidR="004668AC" w:rsidRPr="00EF457E" w:rsidRDefault="004668AC" w:rsidP="004668AC">
      <w:pPr>
        <w:pStyle w:val="Paragrafi0"/>
        <w:ind w:firstLine="0"/>
        <w:rPr>
          <w:sz w:val="12"/>
          <w:lang w:val="it-IT"/>
        </w:rPr>
      </w:pPr>
    </w:p>
    <w:p w:rsidR="004668AC" w:rsidRPr="003305FE" w:rsidRDefault="004668AC" w:rsidP="004668AC">
      <w:pPr>
        <w:pStyle w:val="Paragrafi0"/>
        <w:ind w:firstLine="0"/>
        <w:rPr>
          <w:sz w:val="18"/>
          <w:szCs w:val="18"/>
          <w:lang w:val="it-IT"/>
        </w:rPr>
      </w:pPr>
      <w:r w:rsidRPr="003305FE">
        <w:rPr>
          <w:sz w:val="18"/>
          <w:szCs w:val="18"/>
          <w:lang w:val="it-IT"/>
        </w:rPr>
        <w:t>Në kuotën e importit vjetor llogariten dhe sasitë e importuara të përzierjeve që përmbajnë HCFC (kryesisht R-22)</w:t>
      </w:r>
    </w:p>
    <w:p w:rsidR="004668AC" w:rsidRPr="003305FE" w:rsidRDefault="004668AC" w:rsidP="004668AC">
      <w:pPr>
        <w:pStyle w:val="Paragrafi0"/>
        <w:ind w:firstLine="0"/>
        <w:rPr>
          <w:sz w:val="18"/>
          <w:szCs w:val="18"/>
          <w:lang w:val="it-IT"/>
        </w:rPr>
      </w:pPr>
      <w:r w:rsidRPr="003305FE">
        <w:rPr>
          <w:sz w:val="18"/>
          <w:szCs w:val="18"/>
          <w:lang w:val="it-IT"/>
        </w:rPr>
        <w:t>Në vitet 2010 deri 2014 do të jetë e njëjta kuotë 120 ton, ndërsa në vitet 2025-2030 do të jetë e njëjta kuotë 39 ton.</w:t>
      </w:r>
    </w:p>
    <w:p w:rsidR="004668AC" w:rsidRPr="003305FE" w:rsidRDefault="004668AC" w:rsidP="004668AC">
      <w:pPr>
        <w:pStyle w:val="Paragrafi0"/>
        <w:ind w:firstLine="0"/>
        <w:rPr>
          <w:sz w:val="18"/>
          <w:szCs w:val="18"/>
          <w:lang w:val="it-IT"/>
        </w:rPr>
      </w:pPr>
      <w:r w:rsidRPr="003305FE">
        <w:rPr>
          <w:sz w:val="18"/>
          <w:szCs w:val="18"/>
          <w:lang w:val="it-IT"/>
        </w:rPr>
        <w:t>Në vitin 2030 do të ulet 2.5% e sasisë së vitit 2025 dhe kështu do të veprohe</w:t>
      </w:r>
      <w:r>
        <w:rPr>
          <w:sz w:val="18"/>
          <w:szCs w:val="18"/>
          <w:lang w:val="it-IT"/>
        </w:rPr>
        <w:t>t p</w:t>
      </w:r>
      <w:r w:rsidRPr="003305FE">
        <w:rPr>
          <w:sz w:val="18"/>
          <w:szCs w:val="18"/>
          <w:lang w:val="it-IT"/>
        </w:rPr>
        <w:t>ë</w:t>
      </w:r>
      <w:r>
        <w:rPr>
          <w:sz w:val="18"/>
          <w:szCs w:val="18"/>
          <w:lang w:val="it-IT"/>
        </w:rPr>
        <w:t>r</w:t>
      </w:r>
      <w:r w:rsidRPr="003305FE">
        <w:rPr>
          <w:sz w:val="18"/>
          <w:szCs w:val="18"/>
          <w:lang w:val="it-IT"/>
        </w:rPr>
        <w:t xml:space="preserve"> vitet në vazhdim duke zvogëluar kuotën vjetore 2.5% të vitit parardhës për të arritur në kuotën 29 ton në vitin 2040.</w:t>
      </w:r>
    </w:p>
    <w:sectPr w:rsidR="004668AC" w:rsidRPr="003305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68A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0E27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D92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2F4A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8AC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73F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D8B2C3E-6F0C-4903-B6B9-B38B9F9E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8AC"/>
    <w:rPr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lang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lang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4668A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668A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2019-03-22T10:13:00Z</dcterms:created>
  <dcterms:modified xsi:type="dcterms:W3CDTF">2019-03-22T10:13:00Z</dcterms:modified>
</cp:coreProperties>
</file>