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C1F" w:rsidRPr="00904BBF" w:rsidRDefault="00295C1F" w:rsidP="00295C1F">
      <w:pPr>
        <w:pStyle w:val="Akti"/>
        <w:keepNext w:val="0"/>
      </w:pPr>
      <w:bookmarkStart w:id="0" w:name="_GoBack"/>
      <w:bookmarkEnd w:id="0"/>
      <w:r w:rsidRPr="00904BBF">
        <w:t>VENDIM</w:t>
      </w:r>
    </w:p>
    <w:p w:rsidR="00295C1F" w:rsidRPr="00904BBF" w:rsidRDefault="00295C1F" w:rsidP="00295C1F">
      <w:pPr>
        <w:pStyle w:val="NumriData"/>
        <w:keepNext w:val="0"/>
      </w:pPr>
      <w:r w:rsidRPr="00904BBF">
        <w:t>Nr.338, dat</w:t>
      </w:r>
      <w:r>
        <w:t>ë</w:t>
      </w:r>
      <w:r w:rsidRPr="00904BBF">
        <w:t xml:space="preserve"> 12.5.2010</w:t>
      </w:r>
    </w:p>
    <w:p w:rsidR="00295C1F" w:rsidRPr="00904BBF" w:rsidRDefault="00295C1F" w:rsidP="00295C1F">
      <w:pPr>
        <w:pStyle w:val="Paragrafi0"/>
      </w:pPr>
    </w:p>
    <w:p w:rsidR="00295C1F" w:rsidRDefault="00295C1F" w:rsidP="00295C1F">
      <w:pPr>
        <w:pStyle w:val="Titulli0"/>
        <w:keepNext w:val="0"/>
      </w:pPr>
      <w:r w:rsidRPr="00904BBF">
        <w:t>P</w:t>
      </w:r>
      <w:r>
        <w:t>Ë</w:t>
      </w:r>
      <w:r w:rsidRPr="00904BBF">
        <w:t>R MIRATIMIN N</w:t>
      </w:r>
      <w:r>
        <w:t>Ë</w:t>
      </w:r>
      <w:r w:rsidRPr="00904BBF">
        <w:t xml:space="preserve"> PARIM T</w:t>
      </w:r>
      <w:r>
        <w:t>Ë</w:t>
      </w:r>
      <w:r w:rsidRPr="00904BBF">
        <w:t xml:space="preserve"> NDRYSHIMIT T</w:t>
      </w:r>
      <w:r>
        <w:t>Ë</w:t>
      </w:r>
      <w:r w:rsidRPr="00904BBF">
        <w:t xml:space="preserve"> MARR</w:t>
      </w:r>
      <w:r>
        <w:t>Ë</w:t>
      </w:r>
      <w:r w:rsidRPr="00904BBF">
        <w:t>VESHJES S</w:t>
      </w:r>
      <w:r>
        <w:t>Ë GRANT</w:t>
      </w:r>
      <w:r w:rsidRPr="00904BBF">
        <w:t>IT HOLANDEZ “TF 054400”, ND</w:t>
      </w:r>
      <w:r>
        <w:t>Ë</w:t>
      </w:r>
      <w:r w:rsidRPr="00904BBF">
        <w:t>RMJET REPUBLIK</w:t>
      </w:r>
      <w:r>
        <w:t>Ë</w:t>
      </w:r>
      <w:r w:rsidRPr="00904BBF">
        <w:t>S S</w:t>
      </w:r>
      <w:r>
        <w:t>Ë</w:t>
      </w:r>
      <w:r w:rsidRPr="00904BBF">
        <w:t xml:space="preserve"> SHQIP</w:t>
      </w:r>
      <w:r>
        <w:t>Ë</w:t>
      </w:r>
      <w:r w:rsidRPr="00904BBF">
        <w:t>RIS</w:t>
      </w:r>
      <w:r>
        <w:t>Ë</w:t>
      </w:r>
      <w:r w:rsidRPr="00904BBF">
        <w:t xml:space="preserve"> DHE SHOQAT</w:t>
      </w:r>
      <w:r>
        <w:t>Ë</w:t>
      </w:r>
      <w:r w:rsidRPr="00904BBF">
        <w:t>S ND</w:t>
      </w:r>
      <w:r>
        <w:t>Ë</w:t>
      </w:r>
      <w:r w:rsidRPr="00904BBF">
        <w:t>RKOMB</w:t>
      </w:r>
      <w:r>
        <w:t>Ë</w:t>
      </w:r>
      <w:r w:rsidRPr="00904BBF">
        <w:t>TARE P</w:t>
      </w:r>
      <w:r>
        <w:t>Ë</w:t>
      </w:r>
      <w:r w:rsidRPr="00904BBF">
        <w:t>R ZHVILLIM (IDA), P</w:t>
      </w:r>
      <w:r>
        <w:t>Ë</w:t>
      </w:r>
      <w:r w:rsidRPr="00904BBF">
        <w:t>R RISHP</w:t>
      </w:r>
      <w:r>
        <w:t>Ë</w:t>
      </w:r>
      <w:r w:rsidRPr="00904BBF">
        <w:t>RNDARJEN E FONDEVE DHE SHTYRJEN E AFATIT T</w:t>
      </w:r>
      <w:r>
        <w:t>Ë</w:t>
      </w:r>
      <w:r w:rsidRPr="00904BBF">
        <w:t xml:space="preserve"> K</w:t>
      </w:r>
      <w:r>
        <w:t>ËTIJ GRANT</w:t>
      </w:r>
      <w:r w:rsidRPr="00904BBF">
        <w:t>I, P</w:t>
      </w:r>
      <w:r>
        <w:t>Ë</w:t>
      </w:r>
      <w:r w:rsidRPr="00904BBF">
        <w:t>R FINANCIMIN E KOMPONENTIT “C” T</w:t>
      </w:r>
      <w:r>
        <w:t>Ë</w:t>
      </w:r>
      <w:r w:rsidRPr="00904BBF">
        <w:t xml:space="preserve"> PROJEKTIT “MENAXHIMI I INTEGRUAR DHE PASTRIMI I ZON</w:t>
      </w:r>
      <w:r>
        <w:t>Ë</w:t>
      </w:r>
      <w:r w:rsidRPr="00904BBF">
        <w:t>S BREGDETARE”</w:t>
      </w:r>
    </w:p>
    <w:p w:rsidR="00295C1F" w:rsidRDefault="00295C1F" w:rsidP="00295C1F">
      <w:pPr>
        <w:pStyle w:val="Paragrafi0"/>
      </w:pPr>
    </w:p>
    <w:p w:rsidR="00295C1F" w:rsidRDefault="00295C1F" w:rsidP="00295C1F">
      <w:pPr>
        <w:pStyle w:val="Paragrafi0"/>
      </w:pPr>
      <w:r>
        <w:t>Në mbështetje të nenit 100 të Kushtetutës dhe të neneve 5 e 7 të ligjit nr.8371, datë 9.7.1998 “Për lidhjen e traktateve dhe marrëveshjeve ndërkombëtare”, me propozimin e Ministrit të Punëve Publike dhe Transportit, Ministrit të Financave dhe Ministrit të Mjedisit, Pyjeve dhe Administrimit të Ujërave, Këshilli i Ministrave</w:t>
      </w:r>
    </w:p>
    <w:p w:rsidR="00295C1F" w:rsidRDefault="00295C1F" w:rsidP="00295C1F">
      <w:pPr>
        <w:pStyle w:val="Paragrafi0"/>
      </w:pPr>
    </w:p>
    <w:p w:rsidR="00295C1F" w:rsidRDefault="00295C1F" w:rsidP="00295C1F">
      <w:pPr>
        <w:pStyle w:val="VENDOSI0"/>
        <w:keepNext w:val="0"/>
      </w:pPr>
      <w:r>
        <w:t>VENDOSI:</w:t>
      </w:r>
    </w:p>
    <w:p w:rsidR="00295C1F" w:rsidRDefault="00295C1F" w:rsidP="00295C1F">
      <w:pPr>
        <w:pStyle w:val="Paragrafi0"/>
      </w:pPr>
    </w:p>
    <w:p w:rsidR="00295C1F" w:rsidRDefault="00295C1F" w:rsidP="00295C1F">
      <w:pPr>
        <w:pStyle w:val="Paragrafi0"/>
      </w:pPr>
      <w:r>
        <w:t xml:space="preserve">Miratimin në parim, të ndryshimit të marrëveshjes së granTit holandez “TF 054400”, ndërmjet </w:t>
      </w:r>
      <w:r w:rsidRPr="00904BBF">
        <w:t>Republik</w:t>
      </w:r>
      <w:r>
        <w:t>ë</w:t>
      </w:r>
      <w:r w:rsidRPr="00904BBF">
        <w:t>s s</w:t>
      </w:r>
      <w:r>
        <w:t>ë</w:t>
      </w:r>
      <w:r w:rsidRPr="00904BBF">
        <w:t xml:space="preserve"> Shqip</w:t>
      </w:r>
      <w:r>
        <w:t>ë</w:t>
      </w:r>
      <w:r w:rsidRPr="00904BBF">
        <w:t>ris</w:t>
      </w:r>
      <w:r>
        <w:t>ë</w:t>
      </w:r>
      <w:r w:rsidRPr="00904BBF">
        <w:t xml:space="preserve"> dhe Shoqat</w:t>
      </w:r>
      <w:r>
        <w:t>ë</w:t>
      </w:r>
      <w:r w:rsidRPr="00904BBF">
        <w:t>s Nd</w:t>
      </w:r>
      <w:r>
        <w:t>ë</w:t>
      </w:r>
      <w:r w:rsidRPr="00904BBF">
        <w:t>rkomb</w:t>
      </w:r>
      <w:r>
        <w:t>ë</w:t>
      </w:r>
      <w:r w:rsidRPr="00904BBF">
        <w:t>tare p</w:t>
      </w:r>
      <w:r>
        <w:t>ë</w:t>
      </w:r>
      <w:r w:rsidRPr="00904BBF">
        <w:t>r Zhvillim (IDA), p</w:t>
      </w:r>
      <w:r>
        <w:t>ë</w:t>
      </w:r>
      <w:r w:rsidRPr="00904BBF">
        <w:t>r rishp</w:t>
      </w:r>
      <w:r>
        <w:t>ë</w:t>
      </w:r>
      <w:r w:rsidRPr="00904BBF">
        <w:t>rndarjen e fondeve dhe shtyrjen e afatit t</w:t>
      </w:r>
      <w:r>
        <w:t>ë</w:t>
      </w:r>
      <w:r w:rsidRPr="00904BBF">
        <w:t xml:space="preserve"> k</w:t>
      </w:r>
      <w:r>
        <w:t>ëtij grant</w:t>
      </w:r>
      <w:r w:rsidRPr="00904BBF">
        <w:t>i, p</w:t>
      </w:r>
      <w:r>
        <w:t>ë</w:t>
      </w:r>
      <w:r w:rsidRPr="00904BBF">
        <w:t>r financimin e komponentit “C” t</w:t>
      </w:r>
      <w:r>
        <w:t>ë</w:t>
      </w:r>
      <w:r w:rsidRPr="00904BBF">
        <w:t xml:space="preserve"> projektit “Menaxhimi i integruar dhe pastrimi i zon</w:t>
      </w:r>
      <w:r>
        <w:t>ë</w:t>
      </w:r>
      <w:r w:rsidRPr="00904BBF">
        <w:t>s bregdetare”</w:t>
      </w:r>
      <w:r>
        <w:t>.</w:t>
      </w:r>
    </w:p>
    <w:p w:rsidR="00295C1F" w:rsidRDefault="00295C1F" w:rsidP="00295C1F">
      <w:pPr>
        <w:pStyle w:val="Paragrafi0"/>
      </w:pPr>
      <w:r>
        <w:t>Ky vendim hyn në fuqi menjëherë.</w:t>
      </w:r>
    </w:p>
    <w:p w:rsidR="00295C1F" w:rsidRDefault="00295C1F" w:rsidP="00295C1F">
      <w:pPr>
        <w:pStyle w:val="Autoriteti"/>
        <w:keepNext w:val="0"/>
      </w:pPr>
      <w:r>
        <w:t>KRYEMINISTRI</w:t>
      </w:r>
    </w:p>
    <w:p w:rsidR="00295C1F" w:rsidRDefault="00295C1F" w:rsidP="00295C1F">
      <w:pPr>
        <w:pStyle w:val="AutoritetiEmer"/>
      </w:pPr>
      <w:r>
        <w:t>Sali Berisha</w:t>
      </w:r>
    </w:p>
    <w:tbl>
      <w:tblPr>
        <w:tblStyle w:val="xl53"/>
        <w:tblW w:w="8928" w:type="dxa"/>
        <w:tblLook w:val="01E0" w:firstRow="1" w:lastRow="1" w:firstColumn="1" w:lastColumn="1" w:noHBand="0" w:noVBand="0"/>
      </w:tblPr>
      <w:tblGrid>
        <w:gridCol w:w="3528"/>
        <w:gridCol w:w="2160"/>
        <w:gridCol w:w="3240"/>
      </w:tblGrid>
      <w:tr w:rsidR="00295C1F" w:rsidRPr="00295C1F" w:rsidTr="00295C1F">
        <w:tc>
          <w:tcPr>
            <w:tcW w:w="3528" w:type="dxa"/>
          </w:tcPr>
          <w:p w:rsidR="00295C1F" w:rsidRPr="005C41F4" w:rsidRDefault="00295C1F" w:rsidP="00295C1F">
            <w:pPr>
              <w:pStyle w:val="Paragrafi0"/>
              <w:ind w:firstLine="0"/>
              <w:rPr>
                <w:sz w:val="20"/>
              </w:rPr>
            </w:pPr>
            <w:smartTag w:uri="urn:schemas-microsoft-com:office:smarttags" w:element="place">
              <w:r w:rsidRPr="005C41F4">
                <w:rPr>
                  <w:sz w:val="20"/>
                </w:rPr>
                <w:t>Banka</w:t>
              </w:r>
            </w:smartTag>
            <w:r w:rsidRPr="005C41F4">
              <w:rPr>
                <w:sz w:val="20"/>
              </w:rPr>
              <w:t xml:space="preserve"> Botërore</w:t>
            </w:r>
          </w:p>
          <w:p w:rsidR="00295C1F" w:rsidRDefault="00295C1F" w:rsidP="00295C1F">
            <w:pPr>
              <w:pStyle w:val="Paragrafi0"/>
              <w:ind w:firstLine="0"/>
              <w:rPr>
                <w:sz w:val="20"/>
              </w:rPr>
            </w:pPr>
            <w:r w:rsidRPr="005C41F4">
              <w:rPr>
                <w:sz w:val="20"/>
              </w:rPr>
              <w:t xml:space="preserve">Bankë Ndërkombëtare për Rindërtim </w:t>
            </w:r>
          </w:p>
          <w:p w:rsidR="00295C1F" w:rsidRPr="005C41F4" w:rsidRDefault="00295C1F" w:rsidP="00295C1F">
            <w:pPr>
              <w:pStyle w:val="Paragrafi0"/>
              <w:ind w:firstLine="0"/>
              <w:rPr>
                <w:sz w:val="20"/>
              </w:rPr>
            </w:pPr>
            <w:r w:rsidRPr="005C41F4">
              <w:rPr>
                <w:sz w:val="20"/>
              </w:rPr>
              <w:t>dhe Zhvillim</w:t>
            </w:r>
          </w:p>
          <w:p w:rsidR="00295C1F" w:rsidRPr="005C41F4" w:rsidRDefault="00295C1F" w:rsidP="00295C1F">
            <w:pPr>
              <w:pStyle w:val="Paragrafi0"/>
              <w:ind w:firstLine="0"/>
              <w:rPr>
                <w:sz w:val="20"/>
              </w:rPr>
            </w:pPr>
            <w:r w:rsidRPr="005C41F4">
              <w:rPr>
                <w:sz w:val="20"/>
              </w:rPr>
              <w:t>Shoqata Ndërkombëtare për Zhvillim</w:t>
            </w:r>
          </w:p>
        </w:tc>
        <w:tc>
          <w:tcPr>
            <w:tcW w:w="2160" w:type="dxa"/>
          </w:tcPr>
          <w:p w:rsidR="00295C1F" w:rsidRPr="005C41F4" w:rsidRDefault="00295C1F" w:rsidP="00295C1F">
            <w:pPr>
              <w:pStyle w:val="Paragrafi0"/>
              <w:ind w:firstLine="0"/>
              <w:rPr>
                <w:sz w:val="20"/>
              </w:rPr>
            </w:pPr>
            <w:r w:rsidRPr="005C41F4">
              <w:rPr>
                <w:sz w:val="20"/>
              </w:rPr>
              <w:t>1818h Street NW</w:t>
            </w:r>
          </w:p>
          <w:p w:rsidR="00295C1F" w:rsidRPr="005C41F4" w:rsidRDefault="00295C1F" w:rsidP="00295C1F">
            <w:pPr>
              <w:pStyle w:val="Paragrafi0"/>
              <w:ind w:firstLine="0"/>
              <w:rPr>
                <w:sz w:val="20"/>
              </w:rPr>
            </w:pPr>
            <w:smartTag w:uri="urn:schemas-microsoft-com:office:smarttags" w:element="place">
              <w:smartTag w:uri="urn:schemas-microsoft-com:office:smarttags" w:element="State">
                <w:r w:rsidRPr="005C41F4">
                  <w:rPr>
                    <w:sz w:val="20"/>
                  </w:rPr>
                  <w:t>Washington</w:t>
                </w:r>
              </w:smartTag>
            </w:smartTag>
            <w:r w:rsidRPr="005C41F4">
              <w:rPr>
                <w:sz w:val="20"/>
              </w:rPr>
              <w:t xml:space="preserve"> D.C 20433</w:t>
            </w:r>
          </w:p>
          <w:p w:rsidR="00295C1F" w:rsidRPr="005C41F4" w:rsidRDefault="00295C1F" w:rsidP="00295C1F">
            <w:pPr>
              <w:pStyle w:val="Paragrafi0"/>
              <w:ind w:firstLine="0"/>
              <w:rPr>
                <w:sz w:val="20"/>
              </w:rPr>
            </w:pPr>
            <w:smartTag w:uri="urn:schemas-microsoft-com:office:smarttags" w:element="place">
              <w:smartTag w:uri="urn:schemas-microsoft-com:office:smarttags" w:element="country-region">
                <w:r w:rsidRPr="005C41F4">
                  <w:rPr>
                    <w:sz w:val="20"/>
                  </w:rPr>
                  <w:t>USA</w:t>
                </w:r>
              </w:smartTag>
            </w:smartTag>
          </w:p>
        </w:tc>
        <w:tc>
          <w:tcPr>
            <w:tcW w:w="3240" w:type="dxa"/>
          </w:tcPr>
          <w:p w:rsidR="00295C1F" w:rsidRPr="00295C1F" w:rsidRDefault="00295C1F" w:rsidP="00295C1F">
            <w:pPr>
              <w:pStyle w:val="Paragrafi0"/>
              <w:ind w:firstLine="0"/>
              <w:rPr>
                <w:sz w:val="20"/>
                <w:lang w:val="it-IT"/>
              </w:rPr>
            </w:pPr>
            <w:r w:rsidRPr="00295C1F">
              <w:rPr>
                <w:sz w:val="20"/>
                <w:lang w:val="it-IT"/>
              </w:rPr>
              <w:t>(202) 473-1000</w:t>
            </w:r>
          </w:p>
          <w:p w:rsidR="00295C1F" w:rsidRPr="00295C1F" w:rsidRDefault="00295C1F" w:rsidP="00295C1F">
            <w:pPr>
              <w:pStyle w:val="Paragrafi0"/>
              <w:ind w:firstLine="0"/>
              <w:rPr>
                <w:sz w:val="20"/>
                <w:lang w:val="it-IT"/>
              </w:rPr>
            </w:pPr>
            <w:r w:rsidRPr="00295C1F">
              <w:rPr>
                <w:sz w:val="20"/>
                <w:lang w:val="it-IT"/>
              </w:rPr>
              <w:t>Adresa telegrafike: INTBAFRAD</w:t>
            </w:r>
          </w:p>
          <w:p w:rsidR="00295C1F" w:rsidRPr="00295C1F" w:rsidRDefault="00295C1F" w:rsidP="00295C1F">
            <w:pPr>
              <w:pStyle w:val="Paragrafi0"/>
              <w:ind w:firstLine="0"/>
              <w:rPr>
                <w:sz w:val="20"/>
                <w:lang w:val="it-IT"/>
              </w:rPr>
            </w:pPr>
            <w:r w:rsidRPr="00295C1F">
              <w:rPr>
                <w:sz w:val="20"/>
                <w:lang w:val="it-IT"/>
              </w:rPr>
              <w:t>Adresa telegrafike: INDEVAS</w:t>
            </w:r>
          </w:p>
        </w:tc>
      </w:tr>
    </w:tbl>
    <w:p w:rsidR="00295C1F" w:rsidRPr="00295C1F" w:rsidRDefault="00295C1F" w:rsidP="00295C1F">
      <w:pPr>
        <w:pStyle w:val="Paragrafi0"/>
        <w:rPr>
          <w:lang w:val="it-IT"/>
        </w:rPr>
      </w:pPr>
    </w:p>
    <w:p w:rsidR="00295C1F" w:rsidRPr="00295C1F" w:rsidRDefault="00295C1F" w:rsidP="00295C1F">
      <w:pPr>
        <w:pStyle w:val="Paragrafi0"/>
        <w:jc w:val="right"/>
        <w:rPr>
          <w:lang w:val="it-IT"/>
        </w:rPr>
      </w:pPr>
      <w:r w:rsidRPr="00295C1F">
        <w:rPr>
          <w:lang w:val="it-IT"/>
        </w:rPr>
        <w:t>10 Mars 2010</w:t>
      </w:r>
    </w:p>
    <w:p w:rsidR="00295C1F" w:rsidRPr="00295C1F" w:rsidRDefault="00295C1F" w:rsidP="00295C1F">
      <w:pPr>
        <w:pStyle w:val="Paragrafi0"/>
        <w:jc w:val="right"/>
        <w:rPr>
          <w:lang w:val="it-IT"/>
        </w:rPr>
      </w:pPr>
    </w:p>
    <w:p w:rsidR="00295C1F" w:rsidRPr="00295C1F" w:rsidRDefault="00295C1F" w:rsidP="00295C1F">
      <w:pPr>
        <w:pStyle w:val="Paragrafi0"/>
        <w:ind w:firstLine="0"/>
        <w:jc w:val="left"/>
        <w:rPr>
          <w:lang w:val="it-IT"/>
        </w:rPr>
      </w:pPr>
      <w:r w:rsidRPr="00295C1F">
        <w:rPr>
          <w:lang w:val="it-IT"/>
        </w:rPr>
        <w:t>SHT. Ridvan Bode</w:t>
      </w:r>
    </w:p>
    <w:p w:rsidR="00295C1F" w:rsidRPr="00295C1F" w:rsidRDefault="00295C1F" w:rsidP="00295C1F">
      <w:pPr>
        <w:pStyle w:val="Paragrafi0"/>
        <w:ind w:firstLine="0"/>
        <w:jc w:val="left"/>
        <w:rPr>
          <w:lang w:val="it-IT"/>
        </w:rPr>
      </w:pPr>
      <w:r w:rsidRPr="00295C1F">
        <w:rPr>
          <w:lang w:val="it-IT"/>
        </w:rPr>
        <w:t>Ministër i Financave</w:t>
      </w:r>
    </w:p>
    <w:p w:rsidR="00295C1F" w:rsidRPr="00295C1F" w:rsidRDefault="00295C1F" w:rsidP="00295C1F">
      <w:pPr>
        <w:pStyle w:val="Paragrafi0"/>
        <w:ind w:firstLine="0"/>
        <w:jc w:val="left"/>
        <w:rPr>
          <w:lang w:val="it-IT"/>
        </w:rPr>
      </w:pPr>
      <w:r w:rsidRPr="00295C1F">
        <w:rPr>
          <w:lang w:val="it-IT"/>
        </w:rPr>
        <w:t>Ministria e Financave</w:t>
      </w:r>
    </w:p>
    <w:p w:rsidR="00295C1F" w:rsidRPr="00295C1F" w:rsidRDefault="00295C1F" w:rsidP="00295C1F">
      <w:pPr>
        <w:pStyle w:val="Paragrafi0"/>
        <w:ind w:firstLine="0"/>
        <w:jc w:val="left"/>
        <w:rPr>
          <w:lang w:val="it-IT"/>
        </w:rPr>
      </w:pPr>
      <w:r w:rsidRPr="00295C1F">
        <w:rPr>
          <w:lang w:val="it-IT"/>
        </w:rPr>
        <w:t>Bulevardi “Dëshmorët e Kombit”</w:t>
      </w:r>
    </w:p>
    <w:p w:rsidR="00295C1F" w:rsidRPr="00295C1F" w:rsidRDefault="00295C1F" w:rsidP="00295C1F">
      <w:pPr>
        <w:pStyle w:val="Paragrafi0"/>
        <w:ind w:firstLine="0"/>
        <w:jc w:val="left"/>
        <w:rPr>
          <w:lang w:val="it-IT"/>
        </w:rPr>
      </w:pPr>
      <w:r w:rsidRPr="00295C1F">
        <w:rPr>
          <w:lang w:val="it-IT"/>
        </w:rPr>
        <w:t>Tiranë, Shqipëri</w:t>
      </w:r>
    </w:p>
    <w:p w:rsidR="00295C1F" w:rsidRPr="00295C1F" w:rsidRDefault="00295C1F" w:rsidP="00295C1F">
      <w:pPr>
        <w:pStyle w:val="Paragrafi0"/>
        <w:ind w:firstLine="0"/>
        <w:jc w:val="left"/>
        <w:rPr>
          <w:lang w:val="it-IT"/>
        </w:rPr>
      </w:pPr>
    </w:p>
    <w:p w:rsidR="00295C1F" w:rsidRPr="00295C1F" w:rsidRDefault="00295C1F" w:rsidP="00295C1F">
      <w:pPr>
        <w:pStyle w:val="Paragrafi0"/>
        <w:ind w:firstLine="0"/>
        <w:rPr>
          <w:lang w:val="it-IT"/>
        </w:rPr>
      </w:pPr>
      <w:r w:rsidRPr="00295C1F">
        <w:rPr>
          <w:lang w:val="it-IT"/>
        </w:rPr>
        <w:t xml:space="preserve">      Shkëlqesi,</w:t>
      </w:r>
    </w:p>
    <w:p w:rsidR="00295C1F" w:rsidRPr="00295C1F" w:rsidRDefault="00295C1F" w:rsidP="00295C1F">
      <w:pPr>
        <w:pStyle w:val="Paragrafi0"/>
        <w:ind w:firstLine="0"/>
        <w:rPr>
          <w:lang w:val="it-IT"/>
        </w:rPr>
      </w:pPr>
    </w:p>
    <w:p w:rsidR="00295C1F" w:rsidRPr="00295C1F" w:rsidRDefault="00295C1F" w:rsidP="00295C1F">
      <w:pPr>
        <w:pStyle w:val="Paragrafi0"/>
        <w:ind w:firstLine="0"/>
        <w:jc w:val="center"/>
        <w:rPr>
          <w:lang w:val="it-IT"/>
        </w:rPr>
      </w:pPr>
      <w:r w:rsidRPr="00295C1F">
        <w:rPr>
          <w:lang w:val="it-IT"/>
        </w:rPr>
        <w:t>Ref: Granti holandez “Për përtëritjen e zonës së ndotur të Porto Romanos, bashkëfinancim i projektit “Menaxhimi i integruar dhe pastrimi i zonës bregdetare (ICZMCP) (Numri i Grantit TF054400) – Rialokim i shpenzimeve</w:t>
      </w:r>
    </w:p>
    <w:p w:rsidR="00295C1F" w:rsidRPr="00295C1F" w:rsidRDefault="00295C1F" w:rsidP="00295C1F">
      <w:pPr>
        <w:pStyle w:val="Paragrafi0"/>
        <w:ind w:firstLine="0"/>
        <w:jc w:val="left"/>
        <w:rPr>
          <w:lang w:val="it-IT"/>
        </w:rPr>
      </w:pPr>
    </w:p>
    <w:p w:rsidR="00295C1F" w:rsidRPr="00295C1F" w:rsidRDefault="00295C1F" w:rsidP="00295C1F">
      <w:pPr>
        <w:pStyle w:val="Paragrafi0"/>
        <w:rPr>
          <w:lang w:val="it-IT"/>
        </w:rPr>
      </w:pPr>
      <w:r w:rsidRPr="00295C1F">
        <w:rPr>
          <w:lang w:val="it-IT"/>
        </w:rPr>
        <w:t>Ne i referohemi Marrëveshjes së grantit për projektin e lartpërmendur ndërmjet Republikës së Shqipërisë (Marrësi) dhe Shoqatës Ndërkombëtare për Zhvillimin (Shoqata), të datës 20 korrik 2005, bashkëfirmosur më 26 gusht 2006 (Marrëveshja) dhe e amenduar më 30 dhjetor 2008.</w:t>
      </w:r>
    </w:p>
    <w:p w:rsidR="00295C1F" w:rsidRPr="00295C1F" w:rsidRDefault="00295C1F" w:rsidP="00295C1F">
      <w:pPr>
        <w:pStyle w:val="Paragrafi0"/>
        <w:rPr>
          <w:lang w:val="it-IT"/>
        </w:rPr>
      </w:pPr>
      <w:r w:rsidRPr="00295C1F">
        <w:rPr>
          <w:lang w:val="it-IT"/>
        </w:rPr>
        <w:lastRenderedPageBreak/>
        <w:t>Kemi kënaqësinë t’iu informojmë që, pas vlerësimit të nevojshëm, amendimi për Marrëveshjen themelore të administrimit ndërmjet Qeverisë së Holandës dhe Shoqatës dhe pas marrjes së raportit të auditit të projektit më 19 nëntor 2009, Shoqata ka rënë dakord të amendojë Marrëveshjen si më poshtë:</w:t>
      </w:r>
    </w:p>
    <w:p w:rsidR="00295C1F" w:rsidRPr="00295C1F" w:rsidRDefault="00295C1F" w:rsidP="00295C1F">
      <w:pPr>
        <w:pStyle w:val="Paragrafi0"/>
        <w:rPr>
          <w:lang w:val="it-IT"/>
        </w:rPr>
      </w:pPr>
      <w:r w:rsidRPr="00295C1F">
        <w:rPr>
          <w:lang w:val="it-IT"/>
        </w:rPr>
        <w:t>1. Aktivitetet në seksionin 1.1 të Marrëveshjes do të rishikohen si më poshtë:</w:t>
      </w:r>
    </w:p>
    <w:p w:rsidR="00295C1F" w:rsidRPr="00295C1F" w:rsidRDefault="00295C1F" w:rsidP="00295C1F">
      <w:pPr>
        <w:pStyle w:val="Paragrafi0"/>
        <w:rPr>
          <w:lang w:val="it-IT"/>
        </w:rPr>
      </w:pPr>
      <w:r w:rsidRPr="00295C1F">
        <w:rPr>
          <w:lang w:val="it-IT"/>
        </w:rPr>
        <w:t>a) Sigurimi i punimeve civile për përtëritjen e strukturave dhe tokës së ndotur në zonën e Porto Romanos, përfshirë ndërtimin e sistemit të drenazhimit;</w:t>
      </w:r>
    </w:p>
    <w:p w:rsidR="00295C1F" w:rsidRPr="00295C1F" w:rsidRDefault="00295C1F" w:rsidP="00295C1F">
      <w:pPr>
        <w:pStyle w:val="Paragrafi0"/>
        <w:rPr>
          <w:lang w:val="it-IT"/>
        </w:rPr>
      </w:pPr>
      <w:r w:rsidRPr="00295C1F">
        <w:rPr>
          <w:lang w:val="it-IT"/>
        </w:rPr>
        <w:t>b) Sigurimi i punimeve civile për rehabilitimin e zonës së Porto Romanos;</w:t>
      </w:r>
    </w:p>
    <w:p w:rsidR="00295C1F" w:rsidRPr="00295C1F" w:rsidRDefault="00295C1F" w:rsidP="00295C1F">
      <w:pPr>
        <w:pStyle w:val="Paragrafi0"/>
        <w:rPr>
          <w:lang w:val="it-IT"/>
        </w:rPr>
      </w:pPr>
      <w:r w:rsidRPr="00295C1F">
        <w:rPr>
          <w:lang w:val="it-IT"/>
        </w:rPr>
        <w:t>c) Sigurimi i shërbimeve të konsulentëve për supervizionin e punimeve civile për përtëritjen e Porto Romanos;</w:t>
      </w:r>
    </w:p>
    <w:p w:rsidR="00295C1F" w:rsidRPr="00295C1F" w:rsidRDefault="00295C1F" w:rsidP="00295C1F">
      <w:pPr>
        <w:pStyle w:val="Paragrafi0"/>
        <w:rPr>
          <w:lang w:val="it-IT"/>
        </w:rPr>
      </w:pPr>
      <w:r w:rsidRPr="00295C1F">
        <w:rPr>
          <w:lang w:val="it-IT"/>
        </w:rPr>
        <w:t>d) Sigurimi i këshilltarit teknik ndërkombëtar për përtëritjen e Porto Romanos; dhe</w:t>
      </w:r>
    </w:p>
    <w:p w:rsidR="00295C1F" w:rsidRPr="00295C1F" w:rsidRDefault="00295C1F" w:rsidP="00295C1F">
      <w:pPr>
        <w:pStyle w:val="Paragrafi0"/>
        <w:rPr>
          <w:lang w:val="it-IT"/>
        </w:rPr>
      </w:pPr>
      <w:r w:rsidRPr="00295C1F">
        <w:rPr>
          <w:lang w:val="it-IT"/>
        </w:rPr>
        <w:t>e) Sigurimi i shërbimeve të konsulentëve për njësinë e zbatimit të Porto Romanos në Ministrinë e Mjedisit, Pyjeve dhe Administrimit të Ujërave.</w:t>
      </w:r>
    </w:p>
    <w:p w:rsidR="00295C1F" w:rsidRPr="00295C1F" w:rsidRDefault="00295C1F" w:rsidP="00295C1F">
      <w:pPr>
        <w:pStyle w:val="Paragrafi0"/>
        <w:rPr>
          <w:lang w:val="it-IT"/>
        </w:rPr>
      </w:pPr>
      <w:r w:rsidRPr="00295C1F">
        <w:rPr>
          <w:lang w:val="it-IT"/>
        </w:rPr>
        <w:t>2. Paragrafi 4.2 i aneksit të marrëveshjes do të rishikohet për t’u lexuar si më poshtë:</w:t>
      </w:r>
    </w:p>
    <w:p w:rsidR="00295C1F" w:rsidRPr="00295C1F" w:rsidRDefault="00295C1F" w:rsidP="00295C1F">
      <w:pPr>
        <w:pStyle w:val="Paragrafi0"/>
        <w:rPr>
          <w:lang w:val="it-IT"/>
        </w:rPr>
      </w:pPr>
      <w:r w:rsidRPr="00295C1F">
        <w:rPr>
          <w:lang w:val="it-IT"/>
        </w:rPr>
        <w:t>Tabela e mëposhtme përcakton kategoritë e zërave që do të financohen nga procedurat e grantit, alokimin e shumës së grantit në çdo kategori dhe përqindjen e shpenzimeve për zërin e financuar në këtë mënyrë në secilën kategori.</w:t>
      </w:r>
    </w:p>
    <w:p w:rsidR="00295C1F" w:rsidRPr="00295C1F" w:rsidRDefault="00295C1F" w:rsidP="00295C1F">
      <w:pPr>
        <w:pStyle w:val="Paragrafi0"/>
        <w:rPr>
          <w:lang w:val="it-IT"/>
        </w:rPr>
      </w:pPr>
    </w:p>
    <w:tbl>
      <w:tblPr>
        <w:tblStyle w:val="xl53"/>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373"/>
        <w:gridCol w:w="3599"/>
      </w:tblGrid>
      <w:tr w:rsidR="00295C1F" w:rsidRPr="006E2F0D" w:rsidTr="00295C1F">
        <w:tc>
          <w:tcPr>
            <w:tcW w:w="2448" w:type="dxa"/>
            <w:vAlign w:val="center"/>
          </w:tcPr>
          <w:p w:rsidR="00295C1F" w:rsidRPr="00295C1F" w:rsidRDefault="00295C1F" w:rsidP="00295C1F">
            <w:pPr>
              <w:pStyle w:val="Tabele"/>
              <w:jc w:val="center"/>
            </w:pPr>
            <w:r w:rsidRPr="00295C1F">
              <w:t>Kategoria</w:t>
            </w:r>
          </w:p>
        </w:tc>
        <w:tc>
          <w:tcPr>
            <w:tcW w:w="3373" w:type="dxa"/>
            <w:vAlign w:val="center"/>
          </w:tcPr>
          <w:p w:rsidR="00295C1F" w:rsidRPr="00295C1F" w:rsidRDefault="00295C1F" w:rsidP="00295C1F">
            <w:pPr>
              <w:pStyle w:val="Tabele"/>
              <w:jc w:val="center"/>
            </w:pPr>
            <w:r w:rsidRPr="00295C1F">
              <w:t>Shuma e grantit të alokuar në USD</w:t>
            </w:r>
          </w:p>
        </w:tc>
        <w:tc>
          <w:tcPr>
            <w:tcW w:w="3599" w:type="dxa"/>
            <w:vAlign w:val="center"/>
          </w:tcPr>
          <w:p w:rsidR="00295C1F" w:rsidRPr="00295C1F" w:rsidRDefault="00295C1F" w:rsidP="00295C1F">
            <w:pPr>
              <w:pStyle w:val="Tabele"/>
              <w:jc w:val="center"/>
            </w:pPr>
            <w:r w:rsidRPr="00295C1F">
              <w:t>% e shpenzimeve që do të financohen</w:t>
            </w:r>
          </w:p>
        </w:tc>
      </w:tr>
      <w:tr w:rsidR="00295C1F" w:rsidRPr="006E2F0D" w:rsidTr="00295C1F">
        <w:tc>
          <w:tcPr>
            <w:tcW w:w="2448" w:type="dxa"/>
          </w:tcPr>
          <w:p w:rsidR="00295C1F" w:rsidRPr="006E2F0D" w:rsidRDefault="00295C1F" w:rsidP="00295C1F">
            <w:pPr>
              <w:pStyle w:val="Tabele"/>
              <w:rPr>
                <w:sz w:val="20"/>
              </w:rPr>
            </w:pPr>
            <w:r>
              <w:rPr>
                <w:sz w:val="20"/>
              </w:rPr>
              <w:t>1. Punime civile</w:t>
            </w:r>
          </w:p>
        </w:tc>
        <w:tc>
          <w:tcPr>
            <w:tcW w:w="3373" w:type="dxa"/>
          </w:tcPr>
          <w:p w:rsidR="00295C1F" w:rsidRPr="006E2F0D" w:rsidRDefault="00295C1F" w:rsidP="00295C1F">
            <w:pPr>
              <w:pStyle w:val="Tabele"/>
              <w:rPr>
                <w:sz w:val="20"/>
              </w:rPr>
            </w:pPr>
            <w:r>
              <w:rPr>
                <w:sz w:val="20"/>
              </w:rPr>
              <w:t>2 670 205</w:t>
            </w:r>
          </w:p>
        </w:tc>
        <w:tc>
          <w:tcPr>
            <w:tcW w:w="3599" w:type="dxa"/>
          </w:tcPr>
          <w:p w:rsidR="00295C1F" w:rsidRPr="006E2F0D" w:rsidRDefault="00295C1F" w:rsidP="00295C1F">
            <w:pPr>
              <w:pStyle w:val="Tabele"/>
              <w:rPr>
                <w:sz w:val="20"/>
              </w:rPr>
            </w:pPr>
            <w:r>
              <w:rPr>
                <w:sz w:val="20"/>
              </w:rPr>
              <w:t>80%</w:t>
            </w:r>
          </w:p>
        </w:tc>
      </w:tr>
      <w:tr w:rsidR="00295C1F" w:rsidRPr="006E2F0D" w:rsidTr="00295C1F">
        <w:tc>
          <w:tcPr>
            <w:tcW w:w="2448" w:type="dxa"/>
          </w:tcPr>
          <w:p w:rsidR="00295C1F" w:rsidRPr="006E2F0D" w:rsidRDefault="00295C1F" w:rsidP="00295C1F">
            <w:pPr>
              <w:pStyle w:val="Tabele"/>
              <w:rPr>
                <w:sz w:val="20"/>
              </w:rPr>
            </w:pPr>
            <w:r>
              <w:rPr>
                <w:sz w:val="20"/>
              </w:rPr>
              <w:t>2. Shërbime konsulenti</w:t>
            </w:r>
          </w:p>
        </w:tc>
        <w:tc>
          <w:tcPr>
            <w:tcW w:w="3373" w:type="dxa"/>
          </w:tcPr>
          <w:p w:rsidR="00295C1F" w:rsidRPr="006E2F0D" w:rsidRDefault="00295C1F" w:rsidP="00295C1F">
            <w:pPr>
              <w:pStyle w:val="Tabele"/>
              <w:rPr>
                <w:sz w:val="20"/>
              </w:rPr>
            </w:pPr>
            <w:r>
              <w:rPr>
                <w:sz w:val="20"/>
              </w:rPr>
              <w:t>443,128</w:t>
            </w:r>
          </w:p>
        </w:tc>
        <w:tc>
          <w:tcPr>
            <w:tcW w:w="3599" w:type="dxa"/>
          </w:tcPr>
          <w:p w:rsidR="00295C1F" w:rsidRPr="006E2F0D" w:rsidRDefault="00295C1F" w:rsidP="00295C1F">
            <w:pPr>
              <w:pStyle w:val="Tabele"/>
              <w:rPr>
                <w:sz w:val="20"/>
              </w:rPr>
            </w:pPr>
            <w:r>
              <w:rPr>
                <w:sz w:val="20"/>
              </w:rPr>
              <w:t>100%</w:t>
            </w:r>
          </w:p>
        </w:tc>
      </w:tr>
      <w:tr w:rsidR="00295C1F" w:rsidRPr="006E2F0D" w:rsidTr="00295C1F">
        <w:tc>
          <w:tcPr>
            <w:tcW w:w="2448" w:type="dxa"/>
          </w:tcPr>
          <w:p w:rsidR="00295C1F" w:rsidRPr="006E2F0D" w:rsidRDefault="00295C1F" w:rsidP="00295C1F">
            <w:pPr>
              <w:pStyle w:val="Tabele"/>
              <w:rPr>
                <w:sz w:val="20"/>
              </w:rPr>
            </w:pPr>
            <w:r>
              <w:rPr>
                <w:sz w:val="20"/>
              </w:rPr>
              <w:t>Totali</w:t>
            </w:r>
          </w:p>
        </w:tc>
        <w:tc>
          <w:tcPr>
            <w:tcW w:w="3373" w:type="dxa"/>
          </w:tcPr>
          <w:p w:rsidR="00295C1F" w:rsidRPr="006E2F0D" w:rsidRDefault="00295C1F" w:rsidP="00295C1F">
            <w:pPr>
              <w:pStyle w:val="Tabele"/>
              <w:rPr>
                <w:sz w:val="20"/>
              </w:rPr>
            </w:pPr>
            <w:r>
              <w:rPr>
                <w:sz w:val="20"/>
              </w:rPr>
              <w:t>3 113 333</w:t>
            </w:r>
          </w:p>
        </w:tc>
        <w:tc>
          <w:tcPr>
            <w:tcW w:w="3599" w:type="dxa"/>
          </w:tcPr>
          <w:p w:rsidR="00295C1F" w:rsidRPr="006E2F0D" w:rsidRDefault="00295C1F" w:rsidP="00295C1F">
            <w:pPr>
              <w:pStyle w:val="Tabele"/>
              <w:rPr>
                <w:sz w:val="20"/>
              </w:rPr>
            </w:pPr>
          </w:p>
        </w:tc>
      </w:tr>
      <w:tr w:rsidR="00295C1F" w:rsidRPr="006E2F0D" w:rsidTr="00295C1F">
        <w:tc>
          <w:tcPr>
            <w:tcW w:w="2448" w:type="dxa"/>
          </w:tcPr>
          <w:p w:rsidR="00295C1F" w:rsidRPr="006E2F0D" w:rsidRDefault="00295C1F" w:rsidP="00295C1F">
            <w:pPr>
              <w:pStyle w:val="Tabele"/>
              <w:rPr>
                <w:sz w:val="20"/>
              </w:rPr>
            </w:pPr>
          </w:p>
        </w:tc>
        <w:tc>
          <w:tcPr>
            <w:tcW w:w="3373" w:type="dxa"/>
          </w:tcPr>
          <w:p w:rsidR="00295C1F" w:rsidRPr="006E2F0D" w:rsidRDefault="00295C1F" w:rsidP="00295C1F">
            <w:pPr>
              <w:pStyle w:val="Tabele"/>
              <w:rPr>
                <w:sz w:val="20"/>
              </w:rPr>
            </w:pPr>
          </w:p>
        </w:tc>
        <w:tc>
          <w:tcPr>
            <w:tcW w:w="3599" w:type="dxa"/>
          </w:tcPr>
          <w:p w:rsidR="00295C1F" w:rsidRPr="006E2F0D" w:rsidRDefault="00295C1F" w:rsidP="00295C1F">
            <w:pPr>
              <w:pStyle w:val="Tabele"/>
              <w:rPr>
                <w:sz w:val="20"/>
              </w:rPr>
            </w:pPr>
          </w:p>
        </w:tc>
      </w:tr>
    </w:tbl>
    <w:p w:rsidR="00295C1F" w:rsidRDefault="00295C1F" w:rsidP="00295C1F">
      <w:pPr>
        <w:pStyle w:val="Paragrafi0"/>
        <w:ind w:firstLine="0"/>
      </w:pPr>
    </w:p>
    <w:p w:rsidR="00295C1F" w:rsidRDefault="00295C1F" w:rsidP="00295C1F">
      <w:pPr>
        <w:pStyle w:val="Paragrafi0"/>
      </w:pPr>
      <w:r>
        <w:t>3. Shtojca 1 e aneksit të Marrëveshjes do të rishikohet siç tregohet në shtojcën e kësaj letre amendimi.</w:t>
      </w:r>
    </w:p>
    <w:p w:rsidR="00295C1F" w:rsidRDefault="00295C1F" w:rsidP="00295C1F">
      <w:pPr>
        <w:pStyle w:val="Paragrafi0"/>
      </w:pPr>
    </w:p>
    <w:p w:rsidR="00295C1F" w:rsidRDefault="00295C1F" w:rsidP="00295C1F">
      <w:pPr>
        <w:pStyle w:val="Paragrafi0"/>
      </w:pPr>
    </w:p>
    <w:p w:rsidR="00295C1F" w:rsidRDefault="00295C1F" w:rsidP="00295C1F">
      <w:pPr>
        <w:pStyle w:val="Paragrafi0"/>
      </w:pPr>
    </w:p>
    <w:p w:rsidR="00295C1F" w:rsidRDefault="00295C1F" w:rsidP="00295C1F">
      <w:pPr>
        <w:pStyle w:val="Paragrafi0"/>
      </w:pPr>
    </w:p>
    <w:p w:rsidR="00295C1F" w:rsidRDefault="00295C1F" w:rsidP="00295C1F">
      <w:pPr>
        <w:pStyle w:val="Paragrafi0"/>
      </w:pPr>
      <w:r>
        <w:t>Ju lutemi të konfirmoni pëlqimin tuaj, për sa më sipër, duke kundërfirmosur të dy kopjet e kësaj letre amendimi dhe ktheni një prej kopjeve të kundërfirmosur te ne. Kjo letër amendimi hyn në fuqi vetëm pas marrjes nga Shoqata të kopjes të kësaj letre amendimi të kundërfirmosur nga ju.</w:t>
      </w:r>
    </w:p>
    <w:p w:rsidR="00295C1F" w:rsidRPr="00295C1F" w:rsidRDefault="00295C1F" w:rsidP="00295C1F">
      <w:pPr>
        <w:pStyle w:val="Paragrafi0"/>
        <w:rPr>
          <w:lang w:val="it-IT"/>
        </w:rPr>
      </w:pPr>
      <w:r w:rsidRPr="00295C1F">
        <w:rPr>
          <w:lang w:val="it-IT"/>
        </w:rPr>
        <w:t>Sinqerisht,</w:t>
      </w:r>
    </w:p>
    <w:p w:rsidR="00295C1F" w:rsidRPr="00295C1F" w:rsidRDefault="00295C1F" w:rsidP="00295C1F">
      <w:pPr>
        <w:pStyle w:val="Paragrafi0"/>
        <w:rPr>
          <w:lang w:val="it-IT"/>
        </w:rPr>
      </w:pPr>
      <w:r w:rsidRPr="00295C1F">
        <w:rPr>
          <w:lang w:val="it-IT"/>
        </w:rPr>
        <w:t>Jane Armitage</w:t>
      </w:r>
    </w:p>
    <w:p w:rsidR="00295C1F" w:rsidRPr="00295C1F" w:rsidRDefault="00295C1F" w:rsidP="00295C1F">
      <w:pPr>
        <w:pStyle w:val="Paragrafi0"/>
        <w:rPr>
          <w:lang w:val="it-IT"/>
        </w:rPr>
      </w:pPr>
      <w:r w:rsidRPr="00295C1F">
        <w:rPr>
          <w:lang w:val="it-IT"/>
        </w:rPr>
        <w:t>Drejtore vendi dhe koordinatore rajonale</w:t>
      </w:r>
    </w:p>
    <w:p w:rsidR="00295C1F" w:rsidRPr="00295C1F" w:rsidRDefault="00295C1F" w:rsidP="00295C1F">
      <w:pPr>
        <w:pStyle w:val="Paragrafi0"/>
        <w:rPr>
          <w:lang w:val="it-IT"/>
        </w:rPr>
      </w:pPr>
      <w:r w:rsidRPr="00295C1F">
        <w:rPr>
          <w:lang w:val="it-IT"/>
        </w:rPr>
        <w:t>për Europën Juglindore</w:t>
      </w:r>
    </w:p>
    <w:p w:rsidR="00295C1F" w:rsidRPr="00295C1F" w:rsidRDefault="00295C1F" w:rsidP="00295C1F">
      <w:pPr>
        <w:pStyle w:val="Paragrafi0"/>
        <w:rPr>
          <w:lang w:val="it-IT"/>
        </w:rPr>
      </w:pPr>
      <w:r w:rsidRPr="00295C1F">
        <w:rPr>
          <w:lang w:val="it-IT"/>
        </w:rPr>
        <w:t>Rajoni i Europës dhe Azisë Qendrore</w:t>
      </w:r>
    </w:p>
    <w:p w:rsidR="00295C1F" w:rsidRPr="00295C1F" w:rsidRDefault="00295C1F" w:rsidP="00295C1F">
      <w:pPr>
        <w:pStyle w:val="Paragrafi0"/>
        <w:rPr>
          <w:lang w:val="it-IT"/>
        </w:rPr>
      </w:pPr>
    </w:p>
    <w:p w:rsidR="00295C1F" w:rsidRPr="00295C1F" w:rsidRDefault="00295C1F" w:rsidP="00295C1F">
      <w:pPr>
        <w:pStyle w:val="Paragrafi0"/>
        <w:rPr>
          <w:lang w:val="it-IT"/>
        </w:rPr>
      </w:pPr>
      <w:r w:rsidRPr="00295C1F">
        <w:rPr>
          <w:lang w:val="it-IT"/>
        </w:rPr>
        <w:t>Rënë dakord</w:t>
      </w:r>
    </w:p>
    <w:p w:rsidR="00295C1F" w:rsidRPr="00295C1F" w:rsidRDefault="00295C1F" w:rsidP="00295C1F">
      <w:pPr>
        <w:pStyle w:val="Paragrafi0"/>
        <w:rPr>
          <w:lang w:val="it-IT"/>
        </w:rPr>
      </w:pPr>
      <w:r w:rsidRPr="00295C1F">
        <w:rPr>
          <w:lang w:val="it-IT"/>
        </w:rPr>
        <w:t>Shqipëria</w:t>
      </w:r>
    </w:p>
    <w:p w:rsidR="00295C1F" w:rsidRPr="00295C1F" w:rsidRDefault="00295C1F" w:rsidP="00295C1F">
      <w:pPr>
        <w:pStyle w:val="Paragrafi0"/>
        <w:rPr>
          <w:lang w:val="it-IT"/>
        </w:rPr>
      </w:pPr>
      <w:r w:rsidRPr="00295C1F">
        <w:rPr>
          <w:lang w:val="it-IT"/>
        </w:rPr>
        <w:t>Nga: ______________</w:t>
      </w:r>
    </w:p>
    <w:p w:rsidR="00295C1F" w:rsidRPr="00295C1F" w:rsidRDefault="00295C1F" w:rsidP="00295C1F">
      <w:pPr>
        <w:pStyle w:val="Paragrafi0"/>
        <w:rPr>
          <w:lang w:val="it-IT"/>
        </w:rPr>
      </w:pPr>
      <w:r w:rsidRPr="00295C1F">
        <w:rPr>
          <w:lang w:val="it-IT"/>
        </w:rPr>
        <w:t>Përfaqësuesi i autorizuar</w:t>
      </w:r>
    </w:p>
    <w:p w:rsidR="00295C1F" w:rsidRPr="00295C1F" w:rsidRDefault="00295C1F" w:rsidP="00295C1F">
      <w:pPr>
        <w:pStyle w:val="Paragrafi0"/>
        <w:rPr>
          <w:lang w:val="it-IT"/>
        </w:rPr>
      </w:pPr>
      <w:r w:rsidRPr="00295C1F">
        <w:rPr>
          <w:lang w:val="it-IT"/>
        </w:rPr>
        <w:t>Datë: ________________</w:t>
      </w:r>
    </w:p>
    <w:p w:rsidR="00295C1F" w:rsidRPr="00295C1F" w:rsidRDefault="00295C1F" w:rsidP="00295C1F">
      <w:pPr>
        <w:pStyle w:val="Paragrafi0"/>
        <w:rPr>
          <w:lang w:val="it-IT"/>
        </w:rPr>
      </w:pPr>
    </w:p>
    <w:p w:rsidR="00295C1F" w:rsidRPr="00295C1F" w:rsidRDefault="00295C1F" w:rsidP="00295C1F">
      <w:pPr>
        <w:pStyle w:val="TitulliTitull"/>
        <w:rPr>
          <w:lang w:val="it-IT"/>
        </w:rPr>
      </w:pPr>
      <w:r w:rsidRPr="00295C1F">
        <w:rPr>
          <w:lang w:val="it-IT"/>
        </w:rPr>
        <w:t>Shtojca 1</w:t>
      </w:r>
    </w:p>
    <w:p w:rsidR="00295C1F" w:rsidRPr="00295C1F" w:rsidRDefault="00295C1F" w:rsidP="00295C1F">
      <w:pPr>
        <w:pStyle w:val="TitulliTitull"/>
        <w:rPr>
          <w:lang w:val="it-IT"/>
        </w:rPr>
      </w:pPr>
      <w:r w:rsidRPr="00295C1F">
        <w:rPr>
          <w:lang w:val="it-IT"/>
        </w:rPr>
        <w:t>Prokurimi</w:t>
      </w:r>
    </w:p>
    <w:p w:rsidR="00295C1F" w:rsidRPr="00295C1F" w:rsidRDefault="00295C1F" w:rsidP="00295C1F">
      <w:pPr>
        <w:pStyle w:val="Paragrafi0"/>
        <w:rPr>
          <w:lang w:val="it-IT"/>
        </w:rPr>
      </w:pPr>
    </w:p>
    <w:p w:rsidR="00295C1F" w:rsidRPr="00295C1F" w:rsidRDefault="00295C1F" w:rsidP="00295C1F">
      <w:pPr>
        <w:pStyle w:val="Paragrafi0"/>
        <w:rPr>
          <w:lang w:val="it-IT"/>
        </w:rPr>
      </w:pPr>
      <w:r w:rsidRPr="00295C1F">
        <w:rPr>
          <w:lang w:val="it-IT"/>
        </w:rPr>
        <w:t>Seksioni 1.  Të përgjithshme</w:t>
      </w:r>
    </w:p>
    <w:p w:rsidR="00295C1F" w:rsidRPr="00295C1F" w:rsidRDefault="00295C1F" w:rsidP="00295C1F">
      <w:pPr>
        <w:pStyle w:val="Paragrafi0"/>
        <w:rPr>
          <w:lang w:val="it-IT"/>
        </w:rPr>
      </w:pPr>
      <w:r w:rsidRPr="00295C1F">
        <w:rPr>
          <w:lang w:val="it-IT"/>
        </w:rPr>
        <w:lastRenderedPageBreak/>
        <w:t>A) Të gjitha punimet do të prokurohen në përputhje me dispozitat e seksionit 1 të “Udhëzimeve Prokurimet për huatë e IBRD-së dhe kreditë e IDA-s” të majit 2004 (udhëzimet e prokurimit) dhe në parashikimet e kësaj shtojce.</w:t>
      </w:r>
    </w:p>
    <w:p w:rsidR="00295C1F" w:rsidRPr="00295C1F" w:rsidRDefault="00295C1F" w:rsidP="00295C1F">
      <w:pPr>
        <w:pStyle w:val="Paragrafi0"/>
        <w:rPr>
          <w:lang w:val="it-IT"/>
        </w:rPr>
      </w:pPr>
      <w:r w:rsidRPr="00295C1F">
        <w:rPr>
          <w:lang w:val="it-IT"/>
        </w:rPr>
        <w:t>B) Të gjitha shërbimet e konsulentëve do të prokurohen në përputhje me seksionin e I-rë dhe IV-t të udhëzimeve: Përzgjedhja dhe punësimi i konsulentëve nga huamarrësit e Bankës Botërore të majit 2004 (udhëzimet për konsulentët) dhe në parashikimet e kësaj shtojce.</w:t>
      </w:r>
    </w:p>
    <w:p w:rsidR="00295C1F" w:rsidRPr="00295C1F" w:rsidRDefault="00295C1F" w:rsidP="00295C1F">
      <w:pPr>
        <w:pStyle w:val="Paragrafi0"/>
        <w:rPr>
          <w:lang w:val="it-IT"/>
        </w:rPr>
      </w:pPr>
      <w:r w:rsidRPr="00295C1F">
        <w:rPr>
          <w:lang w:val="it-IT"/>
        </w:rPr>
        <w:t>C) Termat me germa kapitale më poshtë në këtë shtojcë për të përshkruar metodat e veçanta të prokurimit ose metodat e rishikimit nga IDA të kontratave të veçanta kanë kuptimet që u janë dhënë atyre në udhëzimet e prokurimit ose udhëzimet për konsulentët, sipas rastit.</w:t>
      </w:r>
    </w:p>
    <w:p w:rsidR="00295C1F" w:rsidRPr="00295C1F" w:rsidRDefault="00295C1F" w:rsidP="00295C1F">
      <w:pPr>
        <w:pStyle w:val="Paragrafi0"/>
        <w:rPr>
          <w:lang w:val="it-IT"/>
        </w:rPr>
      </w:pPr>
      <w:r w:rsidRPr="00295C1F">
        <w:rPr>
          <w:lang w:val="it-IT"/>
        </w:rPr>
        <w:t>Seksioni II. Metodat e veçanta të prokurimit të punimeve</w:t>
      </w:r>
    </w:p>
    <w:p w:rsidR="00295C1F" w:rsidRPr="00295C1F" w:rsidRDefault="00295C1F" w:rsidP="00295C1F">
      <w:pPr>
        <w:pStyle w:val="Paragrafi0"/>
        <w:rPr>
          <w:lang w:val="it-IT"/>
        </w:rPr>
      </w:pPr>
      <w:r w:rsidRPr="00295C1F">
        <w:rPr>
          <w:lang w:val="it-IT"/>
        </w:rPr>
        <w:t>A) Tenderi ndërkombëtar konkurrues. Përveç kur parashikohet ndryshe në pjesën B të këtij seksioni, kontratat do të jepen bazuar në tenderin ndërkombëtar konkurrues.</w:t>
      </w:r>
    </w:p>
    <w:p w:rsidR="00295C1F" w:rsidRPr="00295C1F" w:rsidRDefault="00295C1F" w:rsidP="00295C1F">
      <w:pPr>
        <w:pStyle w:val="Paragrafi0"/>
        <w:rPr>
          <w:lang w:val="it-IT"/>
        </w:rPr>
      </w:pPr>
      <w:r w:rsidRPr="00295C1F">
        <w:rPr>
          <w:lang w:val="it-IT"/>
        </w:rPr>
        <w:t>B) Procedura të tjera prokurimi</w:t>
      </w:r>
    </w:p>
    <w:p w:rsidR="00295C1F" w:rsidRPr="00295C1F" w:rsidRDefault="00295C1F" w:rsidP="00295C1F">
      <w:pPr>
        <w:pStyle w:val="Paragrafi0"/>
        <w:rPr>
          <w:lang w:val="it-IT"/>
        </w:rPr>
      </w:pPr>
      <w:r w:rsidRPr="00295C1F">
        <w:rPr>
          <w:lang w:val="it-IT"/>
        </w:rPr>
        <w:t>1. Tenderi konkurrues kombëtar. Punimet që vlerësohen të kushtojnë më pak se 500 000 USD dhe më shumë se ekuivalenti i shumës prej 100 000 USD për kontratë, do të prokurohen në bazë të kontratave të dhëna mbi bazën e tenderit konkurrues kombëtar.</w:t>
      </w:r>
    </w:p>
    <w:p w:rsidR="00295C1F" w:rsidRPr="00295C1F" w:rsidRDefault="00295C1F" w:rsidP="00295C1F">
      <w:pPr>
        <w:pStyle w:val="Paragrafi0"/>
        <w:rPr>
          <w:lang w:val="it-IT"/>
        </w:rPr>
      </w:pPr>
      <w:r w:rsidRPr="00295C1F">
        <w:rPr>
          <w:lang w:val="it-IT"/>
        </w:rPr>
        <w:t>2. Blerjet. Punimet që vlerësohen të kushtojnë më pak se ekuivalenti i shumës prej 100 000 USD për kontratë, mund të prokurohen sipas kontratave të dhëna mbi bazën e blerjeve.</w:t>
      </w:r>
    </w:p>
    <w:p w:rsidR="00295C1F" w:rsidRPr="00295C1F" w:rsidRDefault="00295C1F" w:rsidP="00295C1F">
      <w:pPr>
        <w:pStyle w:val="Paragrafi0"/>
        <w:rPr>
          <w:lang w:val="it-IT"/>
        </w:rPr>
      </w:pPr>
      <w:r w:rsidRPr="00295C1F">
        <w:rPr>
          <w:lang w:val="it-IT"/>
        </w:rPr>
        <w:t>Seksioni III. Metodat e veçanta të prokurimit të shërbimeve të konsulentëve</w:t>
      </w:r>
    </w:p>
    <w:p w:rsidR="00295C1F" w:rsidRPr="00E40D8A" w:rsidRDefault="00295C1F" w:rsidP="00295C1F">
      <w:pPr>
        <w:pStyle w:val="Paragrafi0"/>
        <w:rPr>
          <w:lang w:val="it-IT"/>
        </w:rPr>
      </w:pPr>
      <w:r w:rsidRPr="00E40D8A">
        <w:rPr>
          <w:lang w:val="it-IT"/>
        </w:rPr>
        <w:t>A) Përzgjedhjet e bazuara në cilësi dhe kosto. Përveç kur parashikohet ndryshe në pjesën B të këtij seksioni, shërbimet e konsulentëve do të prokurohen sipas kontratave të dhëna në bazë të përzgjedhjes së bazuar në cilësi dhe kosto. Për qëllimet e paragrafit 2.7 të udhëzimeve për konsulentët, përzgjedhja e konsulentëve për shërbimet e vlerësuara që kushtojnë më pak se ekuivalenti i shumës prej 100 000 USD për kontratë, mund të përmbajë vetëm konsulentë vendas.</w:t>
      </w:r>
    </w:p>
    <w:p w:rsidR="00295C1F" w:rsidRPr="00295C1F" w:rsidRDefault="00295C1F" w:rsidP="00295C1F">
      <w:pPr>
        <w:pStyle w:val="Paragrafi0"/>
        <w:rPr>
          <w:lang w:val="it-IT"/>
        </w:rPr>
      </w:pPr>
      <w:r w:rsidRPr="00295C1F">
        <w:rPr>
          <w:lang w:val="it-IT"/>
        </w:rPr>
        <w:t>B) Procedura të tjera</w:t>
      </w:r>
    </w:p>
    <w:p w:rsidR="00295C1F" w:rsidRPr="00295C1F" w:rsidRDefault="00295C1F" w:rsidP="00295C1F">
      <w:pPr>
        <w:pStyle w:val="Paragrafi0"/>
        <w:rPr>
          <w:lang w:val="it-IT"/>
        </w:rPr>
      </w:pPr>
      <w:r w:rsidRPr="00295C1F">
        <w:rPr>
          <w:lang w:val="it-IT"/>
        </w:rPr>
        <w:t>1. Përzgjedhja bazuar në cilësi. Shërbimet për kontratat që IDA bie dakord që përmbushin kërkesat e parashikuara në paragrafin 3.2 të udhëzimeve për konsulentët mund të prokurohen sipas kontratave të dhëna mbi bazën e përzgjedhjes mbi cilësi, në përputhje me dispozitat e paragrafit 3.1 deri 3.4 të udhëzimeve për konsulentët.</w:t>
      </w:r>
    </w:p>
    <w:p w:rsidR="00295C1F" w:rsidRPr="00295C1F" w:rsidRDefault="00295C1F" w:rsidP="00295C1F">
      <w:pPr>
        <w:pStyle w:val="Paragrafi0"/>
        <w:rPr>
          <w:lang w:val="it-IT"/>
        </w:rPr>
      </w:pPr>
      <w:r w:rsidRPr="00295C1F">
        <w:rPr>
          <w:lang w:val="it-IT"/>
        </w:rPr>
        <w:t>2. Përzgjedhja sipas një buxheti fiks. Shërbimet për kontratat që IDA bie dakord që përmbushin kërkesat e paragrafit 3.5 të udhëzimeve për konsulentët mund të prokurohen sipas kontratave të dhëna mbi bazën e një buxheti fiks në përputhje me dispozitat e paragrafëve 3.1 dhe 3.5 të udhëzimeve për konsulentët.</w:t>
      </w:r>
    </w:p>
    <w:p w:rsidR="00295C1F" w:rsidRPr="00295C1F" w:rsidRDefault="00295C1F" w:rsidP="00295C1F">
      <w:pPr>
        <w:pStyle w:val="Paragrafi0"/>
        <w:rPr>
          <w:lang w:val="it-IT"/>
        </w:rPr>
      </w:pPr>
      <w:r w:rsidRPr="00295C1F">
        <w:rPr>
          <w:lang w:val="it-IT"/>
        </w:rPr>
        <w:t>3. Përzgjedhja me koston më të ulët. Shërbimet për kontratat që IDA bie dakord që përmbushin kërkesat e paragrafit 3.6 të udhëzimeve për konsulentët mund të prokurohen sipas kontratave të dhëna mbi bazën e përzgjedhjes me koston më të ulët, në përputhje me dispozitat e paragrafit 3.1 dhe 3.6 të udhëzimeve për konsulentët.</w:t>
      </w:r>
    </w:p>
    <w:p w:rsidR="00295C1F" w:rsidRPr="00E40D8A" w:rsidRDefault="00295C1F" w:rsidP="00295C1F">
      <w:pPr>
        <w:pStyle w:val="Paragrafi0"/>
        <w:rPr>
          <w:lang w:val="it-IT"/>
        </w:rPr>
      </w:pPr>
      <w:r w:rsidRPr="00E40D8A">
        <w:rPr>
          <w:lang w:val="it-IT"/>
        </w:rPr>
        <w:t>4. Përzgjedhja e bazuar në kualifikimet e konsulentëve. Shërbimet që vlerësohen të kushtojnë më pak se ekuivalenti i shumës prej 200 000 USD për kontratë, mund të prokurohen sipas kontratave të dhëna në përputhje me dispozitat e paragrafëve 3.1, 3.7 dhe 3.8 të udhëzimeve për konsulentët.</w:t>
      </w:r>
    </w:p>
    <w:p w:rsidR="00295C1F" w:rsidRPr="00E40D8A" w:rsidRDefault="00295C1F" w:rsidP="00295C1F">
      <w:pPr>
        <w:pStyle w:val="Paragrafi0"/>
        <w:rPr>
          <w:lang w:val="it-IT"/>
        </w:rPr>
      </w:pPr>
      <w:r w:rsidRPr="00E40D8A">
        <w:rPr>
          <w:lang w:val="it-IT"/>
        </w:rPr>
        <w:t>5. Përzgjedhja nga një burim i vetëm. Shërbimet për detyrat në rrethana që përmbushin kërkesat e paragrafit 3.10 të udhëzimeve për konsulentët për përzgjedhje nga një burim i vetëm, me marrëveshje paraprake të IDA-s, mund të prokurohen në përputhje me dispozitat e paragrafëve 3.9 deri 3.13 të udhëzimeve për konsulentët.</w:t>
      </w:r>
    </w:p>
    <w:p w:rsidR="00295C1F" w:rsidRPr="00E40D8A" w:rsidRDefault="00295C1F" w:rsidP="00295C1F">
      <w:pPr>
        <w:pStyle w:val="Paragrafi0"/>
        <w:rPr>
          <w:lang w:val="it-IT"/>
        </w:rPr>
      </w:pPr>
      <w:r w:rsidRPr="00E40D8A">
        <w:rPr>
          <w:lang w:val="it-IT"/>
        </w:rPr>
        <w:t>6. Konsulentë individualë. Shërbimet për kontratat që përmbushin kërkesat e përcaktuara në fjalinë e parë të paragrafit 5.1 të udhëzimeve për konsulentët, mund të prokurohen sipas kontratave të dhëna për konsulentët individualë në përputhje me dispozitat e paragrafëve 5.2 deri 5.3 të udhëzimeve për konsulentët. Në bazë të rrethanave të përshkruara në paragrafin 5.4 të udhëzimeve për konsulentët, kontrata të tilla mund t’u jepen konsulentëve individualë në bazë të burimit të vetëm, me miratimin paraprak të IDA-s.</w:t>
      </w:r>
    </w:p>
    <w:p w:rsidR="00295C1F" w:rsidRPr="00295C1F" w:rsidRDefault="00295C1F" w:rsidP="00295C1F">
      <w:pPr>
        <w:pStyle w:val="Paragrafi0"/>
        <w:rPr>
          <w:lang w:val="it-IT"/>
        </w:rPr>
      </w:pPr>
      <w:r w:rsidRPr="00295C1F">
        <w:rPr>
          <w:lang w:val="it-IT"/>
        </w:rPr>
        <w:lastRenderedPageBreak/>
        <w:t>Seksioni IV. Rishikimi nga IDA i vendimeve të prokurimit</w:t>
      </w:r>
    </w:p>
    <w:p w:rsidR="00295C1F" w:rsidRPr="00295C1F" w:rsidRDefault="00295C1F" w:rsidP="00295C1F">
      <w:pPr>
        <w:pStyle w:val="Paragrafi0"/>
      </w:pPr>
      <w:r w:rsidRPr="00295C1F">
        <w:rPr>
          <w:lang w:val="it-IT"/>
        </w:rPr>
        <w:t xml:space="preserve">Përveç kur IDA vendos ndryshe duke njoftuar marrësin: a) çdo kontratë për punimet e prokuruara mbi bazën e tenderit ndërkombëtar konkurrues ose prokuruar mbi bazën e tenderit kombëtar konkurrues dhe vlerësuar të kushtojë më shumë se ekuivalenti i shumës prej 200 000 USD për kontratë; dhe b) çdo kontratë për shërbimet e konsulentëve të afruara nga një firmë e vlerësuar të kushtojë sa ekuivalenti i shumës prej 100 000 USD ose më shumë dhe të gjitha kontratat për shërbimet e konsulentëve të prokuruara nëpërmjet përzgjedhjes nga një burim i vetëm do t’u nënshtrohen miratimit paraprak të IDA-s. </w:t>
      </w:r>
      <w:r>
        <w:t>Të gjitha kontratat e tjera do t’i nënshtrohen rishikimit pasues të IDA-s.</w:t>
      </w:r>
    </w:p>
    <w:sectPr w:rsidR="00295C1F" w:rsidRPr="00295C1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95C1F"/>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6B85"/>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5C1F"/>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299"/>
    <w:rsid w:val="0034544B"/>
    <w:rsid w:val="003460C1"/>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1F7B"/>
    <w:rsid w:val="0038255E"/>
    <w:rsid w:val="00382A9B"/>
    <w:rsid w:val="00382F4A"/>
    <w:rsid w:val="00383AE3"/>
    <w:rsid w:val="0038481A"/>
    <w:rsid w:val="00385CC1"/>
    <w:rsid w:val="00385E46"/>
    <w:rsid w:val="00386092"/>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1EB4"/>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0275EBFF-F8BC-4F17-A39D-766F0B774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C1F"/>
    <w:pPr>
      <w:spacing w:after="200" w:line="276" w:lineRule="auto"/>
    </w:pPr>
    <w:rPr>
      <w:rFonts w:ascii="Calibri" w:eastAsia="Calibri" w:hAnsi="Calibri"/>
      <w:sz w:val="22"/>
      <w:szCs w:val="22"/>
      <w:lang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71137E"/>
    <w:pPr>
      <w:spacing w:after="160" w:line="240" w:lineRule="exact"/>
    </w:pPr>
    <w:rPr>
      <w:rFonts w:ascii="Tahoma" w:eastAsia="MS Mincho" w:hAnsi="Tahoma"/>
      <w:sz w:val="20"/>
      <w:szCs w:val="20"/>
      <w:lang w:val="sq-AL" w:eastAsia="en-GB"/>
    </w:rPr>
  </w:style>
  <w:style w:type="paragraph" w:customStyle="1" w:styleId="ADDRESS">
    <w:name w:val="ADDRESS"/>
    <w:basedOn w:val="Normal"/>
    <w:rsid w:val="0071137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71137E"/>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71137E"/>
    <w:rPr>
      <w:rFonts w:ascii="CG Times" w:hAnsi="CG Times"/>
      <w:sz w:val="22"/>
      <w:lang w:val="en-GB"/>
    </w:rPr>
  </w:style>
  <w:style w:type="paragraph" w:customStyle="1" w:styleId="AneksiNr">
    <w:name w:val="Aneksi_Nr"/>
    <w:next w:val="Normal"/>
    <w:rsid w:val="0071137E"/>
    <w:pPr>
      <w:keepNext/>
      <w:widowControl w:val="0"/>
      <w:jc w:val="center"/>
    </w:pPr>
    <w:rPr>
      <w:rFonts w:ascii="CG Times" w:hAnsi="CG Times"/>
      <w:caps/>
      <w:sz w:val="22"/>
      <w:szCs w:val="22"/>
      <w:lang w:val="en-GB"/>
    </w:rPr>
  </w:style>
  <w:style w:type="paragraph" w:customStyle="1" w:styleId="AneksiTitull">
    <w:name w:val="Aneksi_Titull"/>
    <w:next w:val="Normal"/>
    <w:rsid w:val="0071137E"/>
    <w:pPr>
      <w:jc w:val="center"/>
    </w:pPr>
    <w:rPr>
      <w:rFonts w:ascii="CG Times" w:hAnsi="CG Times"/>
      <w:sz w:val="24"/>
      <w:szCs w:val="24"/>
      <w:lang w:val="en-GB"/>
    </w:rPr>
  </w:style>
  <w:style w:type="character" w:customStyle="1" w:styleId="apple-converted-space">
    <w:name w:val="apple-converted-space"/>
    <w:basedOn w:val="DefaultParagraphFont"/>
    <w:rsid w:val="0071137E"/>
  </w:style>
  <w:style w:type="paragraph" w:customStyle="1" w:styleId="Autoriteti">
    <w:name w:val="Autoriteti"/>
    <w:next w:val="Normal"/>
    <w:rsid w:val="0071137E"/>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71137E"/>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71137E"/>
    <w:rPr>
      <w:rFonts w:ascii="CG Times" w:eastAsia="MS Mincho" w:hAnsi="CG Times"/>
      <w:b/>
      <w:sz w:val="22"/>
      <w:szCs w:val="22"/>
      <w:lang w:val="en-GB" w:eastAsia="en-US" w:bidi="ar-SA"/>
    </w:rPr>
  </w:style>
  <w:style w:type="paragraph" w:customStyle="1" w:styleId="BazLigjPropozues">
    <w:name w:val="Baz_Ligj_Propozues"/>
    <w:rsid w:val="0071137E"/>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71137E"/>
    <w:pPr>
      <w:spacing w:before="100" w:beforeAutospacing="1" w:after="100" w:afterAutospacing="1"/>
    </w:pPr>
    <w:rPr>
      <w:rFonts w:eastAsia="MS Mincho"/>
      <w:lang w:val="sq-AL" w:eastAsia="tr-TR"/>
    </w:rPr>
  </w:style>
  <w:style w:type="paragraph" w:customStyle="1" w:styleId="bcpara">
    <w:name w:val="bc para"/>
    <w:basedOn w:val="Normal"/>
    <w:rsid w:val="0071137E"/>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71137E"/>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71137E"/>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71137E"/>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71137E"/>
    <w:pPr>
      <w:jc w:val="center"/>
    </w:pPr>
    <w:rPr>
      <w:rFonts w:ascii="CG Times" w:hAnsi="CG Times"/>
      <w:caps/>
      <w:sz w:val="22"/>
      <w:szCs w:val="22"/>
      <w:lang w:val="en-GB"/>
    </w:rPr>
  </w:style>
  <w:style w:type="paragraph" w:customStyle="1" w:styleId="Char0">
    <w:name w:val="Char"/>
    <w:basedOn w:val="Normal"/>
    <w:rsid w:val="0071137E"/>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71137E"/>
    <w:pPr>
      <w:widowControl w:val="0"/>
      <w:autoSpaceDE w:val="0"/>
      <w:autoSpaceDN w:val="0"/>
      <w:adjustRightInd w:val="0"/>
    </w:pPr>
    <w:rPr>
      <w:rFonts w:eastAsia="MS Mincho"/>
      <w:lang w:val="sq-AL" w:eastAsia="tr-TR"/>
    </w:rPr>
  </w:style>
  <w:style w:type="paragraph" w:customStyle="1" w:styleId="CM5">
    <w:name w:val="CM5"/>
    <w:basedOn w:val="Normal"/>
    <w:next w:val="Normal"/>
    <w:rsid w:val="0071137E"/>
    <w:pPr>
      <w:widowControl w:val="0"/>
      <w:autoSpaceDE w:val="0"/>
      <w:autoSpaceDN w:val="0"/>
      <w:adjustRightInd w:val="0"/>
    </w:pPr>
    <w:rPr>
      <w:rFonts w:eastAsia="MS Mincho"/>
      <w:lang w:val="sq-AL" w:eastAsia="tr-TR"/>
    </w:rPr>
  </w:style>
  <w:style w:type="paragraph" w:customStyle="1" w:styleId="CM6">
    <w:name w:val="CM6"/>
    <w:basedOn w:val="Normal"/>
    <w:next w:val="Normal"/>
    <w:rsid w:val="0071137E"/>
    <w:pPr>
      <w:widowControl w:val="0"/>
      <w:autoSpaceDE w:val="0"/>
      <w:autoSpaceDN w:val="0"/>
      <w:adjustRightInd w:val="0"/>
    </w:pPr>
    <w:rPr>
      <w:rFonts w:eastAsia="MS Mincho"/>
      <w:lang w:val="sq-AL" w:eastAsia="tr-TR"/>
    </w:rPr>
  </w:style>
  <w:style w:type="paragraph" w:customStyle="1" w:styleId="CM7">
    <w:name w:val="CM7"/>
    <w:basedOn w:val="Normal"/>
    <w:next w:val="Normal"/>
    <w:rsid w:val="0071137E"/>
    <w:pPr>
      <w:widowControl w:val="0"/>
      <w:autoSpaceDE w:val="0"/>
      <w:autoSpaceDN w:val="0"/>
      <w:adjustRightInd w:val="0"/>
    </w:pPr>
    <w:rPr>
      <w:rFonts w:eastAsia="MS Mincho"/>
      <w:lang w:val="sq-AL" w:eastAsia="tr-TR"/>
    </w:rPr>
  </w:style>
  <w:style w:type="paragraph" w:customStyle="1" w:styleId="Default">
    <w:name w:val="Default"/>
    <w:rsid w:val="0071137E"/>
    <w:pPr>
      <w:autoSpaceDE w:val="0"/>
      <w:autoSpaceDN w:val="0"/>
      <w:adjustRightInd w:val="0"/>
    </w:pPr>
    <w:rPr>
      <w:rFonts w:ascii="Arial" w:hAnsi="Arial" w:cs="Arial"/>
    </w:rPr>
  </w:style>
  <w:style w:type="character" w:customStyle="1" w:styleId="DeltaViewDeletion">
    <w:name w:val="DeltaView Deletion"/>
    <w:rsid w:val="0071137E"/>
    <w:rPr>
      <w:strike/>
      <w:color w:val="FF0000"/>
      <w:spacing w:val="0"/>
    </w:rPr>
  </w:style>
  <w:style w:type="character" w:customStyle="1" w:styleId="DeltaViewInsertion">
    <w:name w:val="DeltaView Insertion"/>
    <w:rsid w:val="0071137E"/>
    <w:rPr>
      <w:color w:val="0000FF"/>
      <w:spacing w:val="0"/>
      <w:u w:val="double"/>
    </w:rPr>
  </w:style>
  <w:style w:type="character" w:customStyle="1" w:styleId="DeltaViewMoveDestination">
    <w:name w:val="DeltaView Move Destination"/>
    <w:rsid w:val="0071137E"/>
    <w:rPr>
      <w:color w:val="00C000"/>
      <w:spacing w:val="0"/>
      <w:u w:val="double"/>
    </w:rPr>
  </w:style>
  <w:style w:type="paragraph" w:customStyle="1" w:styleId="extraclauses">
    <w:name w:val="extra_clauses"/>
    <w:basedOn w:val="Normal"/>
    <w:rsid w:val="0071137E"/>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71137E"/>
    <w:pPr>
      <w:widowControl w:val="0"/>
      <w:outlineLvl w:val="2"/>
    </w:pPr>
    <w:rPr>
      <w:rFonts w:ascii="CG Times" w:hAnsi="CG Times"/>
      <w:sz w:val="22"/>
    </w:rPr>
  </w:style>
  <w:style w:type="paragraph" w:customStyle="1" w:styleId="footnote">
    <w:name w:val="footnote"/>
    <w:basedOn w:val="Normal"/>
    <w:rsid w:val="0071137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71137E"/>
    <w:pPr>
      <w:keepNext/>
      <w:widowControl w:val="0"/>
      <w:jc w:val="center"/>
    </w:pPr>
    <w:rPr>
      <w:rFonts w:ascii="CG Times" w:hAnsi="CG Times"/>
      <w:caps/>
      <w:sz w:val="22"/>
      <w:szCs w:val="22"/>
      <w:lang w:val="en-GB"/>
    </w:rPr>
  </w:style>
  <w:style w:type="paragraph" w:customStyle="1" w:styleId="Kapakufund">
    <w:name w:val="Kapaku_fund"/>
    <w:next w:val="Normal"/>
    <w:rsid w:val="0071137E"/>
    <w:pPr>
      <w:pageBreakBefore/>
    </w:pPr>
    <w:rPr>
      <w:rFonts w:ascii="CG Times" w:hAnsi="CG Times"/>
      <w:b/>
      <w:sz w:val="22"/>
      <w:szCs w:val="22"/>
    </w:rPr>
  </w:style>
  <w:style w:type="paragraph" w:customStyle="1" w:styleId="KapitulliNr">
    <w:name w:val="Kapitulli_Nr"/>
    <w:rsid w:val="0071137E"/>
    <w:pPr>
      <w:keepNext/>
      <w:widowControl w:val="0"/>
      <w:jc w:val="center"/>
    </w:pPr>
    <w:rPr>
      <w:rFonts w:ascii="CG Times" w:hAnsi="CG Times"/>
      <w:caps/>
      <w:sz w:val="22"/>
      <w:szCs w:val="22"/>
      <w:lang w:val="en-GB"/>
    </w:rPr>
  </w:style>
  <w:style w:type="paragraph" w:customStyle="1" w:styleId="KapitulliTitull">
    <w:name w:val="Kapitulli_Titull"/>
    <w:rsid w:val="0071137E"/>
    <w:pPr>
      <w:keepNext/>
      <w:widowControl w:val="0"/>
      <w:jc w:val="center"/>
    </w:pPr>
    <w:rPr>
      <w:rFonts w:ascii="CG Times" w:hAnsi="CG Times"/>
      <w:caps/>
      <w:sz w:val="22"/>
      <w:szCs w:val="22"/>
      <w:lang w:val="en-GB"/>
    </w:rPr>
  </w:style>
  <w:style w:type="paragraph" w:customStyle="1" w:styleId="KreuNr">
    <w:name w:val="Kreu_Nr"/>
    <w:rsid w:val="0071137E"/>
    <w:pPr>
      <w:keepNext/>
      <w:widowControl w:val="0"/>
      <w:jc w:val="center"/>
    </w:pPr>
    <w:rPr>
      <w:rFonts w:ascii="CG Times" w:hAnsi="CG Times"/>
      <w:caps/>
      <w:sz w:val="22"/>
      <w:szCs w:val="22"/>
    </w:rPr>
  </w:style>
  <w:style w:type="paragraph" w:customStyle="1" w:styleId="KreuTitull">
    <w:name w:val="Kreu_Titull"/>
    <w:next w:val="KapitulliTitull"/>
    <w:rsid w:val="0071137E"/>
    <w:pPr>
      <w:keepNext/>
      <w:widowControl w:val="0"/>
      <w:jc w:val="center"/>
    </w:pPr>
    <w:rPr>
      <w:rFonts w:ascii="CG Times" w:hAnsi="CG Times"/>
      <w:caps/>
      <w:sz w:val="22"/>
      <w:szCs w:val="22"/>
    </w:rPr>
  </w:style>
  <w:style w:type="paragraph" w:customStyle="1" w:styleId="Ndryshimet">
    <w:name w:val="Ndryshimet"/>
    <w:next w:val="Normal"/>
    <w:rsid w:val="0071137E"/>
    <w:pPr>
      <w:keepNext/>
      <w:widowControl w:val="0"/>
      <w:jc w:val="center"/>
    </w:pPr>
    <w:rPr>
      <w:rFonts w:ascii="CG Times" w:hAnsi="CG Times"/>
      <w:i/>
      <w:sz w:val="22"/>
    </w:rPr>
  </w:style>
  <w:style w:type="paragraph" w:customStyle="1" w:styleId="NeniNr">
    <w:name w:val="Neni_Nr"/>
    <w:next w:val="Normal"/>
    <w:rsid w:val="0071137E"/>
    <w:pPr>
      <w:keepNext/>
      <w:widowControl w:val="0"/>
      <w:jc w:val="center"/>
    </w:pPr>
    <w:rPr>
      <w:rFonts w:ascii="CG Times" w:hAnsi="CG Times"/>
      <w:sz w:val="22"/>
      <w:lang w:val="en-GB"/>
    </w:rPr>
  </w:style>
  <w:style w:type="paragraph" w:customStyle="1" w:styleId="NeniTitull">
    <w:name w:val="Neni_Titull"/>
    <w:next w:val="Normal"/>
    <w:rsid w:val="0071137E"/>
    <w:pPr>
      <w:keepNext/>
      <w:widowControl w:val="0"/>
      <w:jc w:val="center"/>
      <w:outlineLvl w:val="2"/>
    </w:pPr>
    <w:rPr>
      <w:rFonts w:ascii="CG Times" w:hAnsi="CG Times"/>
      <w:b/>
      <w:sz w:val="22"/>
      <w:lang w:val="en-GB"/>
    </w:rPr>
  </w:style>
  <w:style w:type="paragraph" w:customStyle="1" w:styleId="NenkreuNr">
    <w:name w:val="Nenkreu_Nr"/>
    <w:rsid w:val="0071137E"/>
    <w:pPr>
      <w:keepNext/>
      <w:widowControl w:val="0"/>
      <w:jc w:val="center"/>
    </w:pPr>
    <w:rPr>
      <w:rFonts w:ascii="CG Times" w:hAnsi="CG Times"/>
      <w:caps/>
      <w:sz w:val="22"/>
      <w:szCs w:val="22"/>
      <w:lang w:val="en-GB"/>
    </w:rPr>
  </w:style>
  <w:style w:type="paragraph" w:customStyle="1" w:styleId="NenkreuTitull">
    <w:name w:val="Nenkreu_Titull"/>
    <w:rsid w:val="0071137E"/>
    <w:pPr>
      <w:jc w:val="center"/>
    </w:pPr>
    <w:rPr>
      <w:rFonts w:ascii="CG Times" w:hAnsi="CG Times"/>
      <w:caps/>
      <w:sz w:val="22"/>
      <w:szCs w:val="22"/>
      <w:lang w:val="en-GB"/>
    </w:rPr>
  </w:style>
  <w:style w:type="paragraph" w:customStyle="1" w:styleId="Nenpika">
    <w:name w:val="Nenpika"/>
    <w:next w:val="Normal"/>
    <w:autoRedefine/>
    <w:rsid w:val="0071137E"/>
    <w:pPr>
      <w:ind w:firstLine="720"/>
    </w:pPr>
    <w:rPr>
      <w:rFonts w:ascii="CG Times" w:hAnsi="CG Times"/>
      <w:sz w:val="22"/>
    </w:rPr>
  </w:style>
  <w:style w:type="paragraph" w:customStyle="1" w:styleId="NormaleBookmanOldStyle">
    <w:name w:val="Normale + Bookman Old Style"/>
    <w:aliases w:val="Giustificato,Dopo:  6 pt"/>
    <w:basedOn w:val="Normal"/>
    <w:rsid w:val="0071137E"/>
    <w:pPr>
      <w:spacing w:after="120"/>
      <w:jc w:val="both"/>
    </w:pPr>
    <w:rPr>
      <w:rFonts w:ascii="Bookman Old Style" w:eastAsia="MS Mincho" w:hAnsi="Bookman Old Style"/>
      <w:szCs w:val="20"/>
      <w:lang w:val="sq-AL" w:eastAsia="tr-TR"/>
    </w:rPr>
  </w:style>
  <w:style w:type="paragraph" w:customStyle="1" w:styleId="numberedindent">
    <w:name w:val="numberedindent"/>
    <w:rsid w:val="0071137E"/>
    <w:pPr>
      <w:tabs>
        <w:tab w:val="num" w:pos="1800"/>
      </w:tabs>
      <w:spacing w:after="120"/>
      <w:jc w:val="both"/>
    </w:pPr>
    <w:rPr>
      <w:rFonts w:ascii="Arial" w:hAnsi="Arial"/>
      <w:lang w:val="en-GB"/>
    </w:rPr>
  </w:style>
  <w:style w:type="paragraph" w:customStyle="1" w:styleId="NumriData">
    <w:name w:val="Numri_Data"/>
    <w:next w:val="Normal"/>
    <w:rsid w:val="0071137E"/>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71137E"/>
    <w:pPr>
      <w:spacing w:before="100" w:beforeAutospacing="1" w:after="100" w:afterAutospacing="1"/>
    </w:pPr>
    <w:rPr>
      <w:rFonts w:eastAsia="MS Mincho"/>
      <w:lang w:val="sq-AL" w:eastAsia="tr-TR"/>
    </w:rPr>
  </w:style>
  <w:style w:type="paragraph" w:customStyle="1" w:styleId="Paragrafi0">
    <w:name w:val="Paragrafi"/>
    <w:rsid w:val="0071137E"/>
    <w:pPr>
      <w:widowControl w:val="0"/>
      <w:ind w:firstLine="720"/>
      <w:jc w:val="both"/>
    </w:pPr>
    <w:rPr>
      <w:rFonts w:ascii="CG Times" w:eastAsia="MS Mincho" w:hAnsi="CG Times"/>
      <w:sz w:val="22"/>
    </w:rPr>
  </w:style>
  <w:style w:type="paragraph" w:customStyle="1" w:styleId="Pika">
    <w:name w:val="Pika"/>
    <w:next w:val="Normal"/>
    <w:autoRedefine/>
    <w:rsid w:val="0071137E"/>
    <w:pPr>
      <w:ind w:firstLine="720"/>
    </w:pPr>
    <w:rPr>
      <w:rFonts w:ascii="CG Times" w:hAnsi="CG Times"/>
      <w:sz w:val="22"/>
    </w:rPr>
  </w:style>
  <w:style w:type="paragraph" w:customStyle="1" w:styleId="PikeKreu">
    <w:name w:val="Pike_Kreu"/>
    <w:basedOn w:val="Heading1"/>
    <w:rsid w:val="0071137E"/>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71137E"/>
    <w:pPr>
      <w:keepNext/>
      <w:widowControl w:val="0"/>
      <w:jc w:val="center"/>
    </w:pPr>
    <w:rPr>
      <w:rFonts w:ascii="CG Times" w:hAnsi="CG Times"/>
      <w:caps/>
      <w:sz w:val="22"/>
      <w:szCs w:val="22"/>
      <w:lang w:val="en-GB"/>
    </w:rPr>
  </w:style>
  <w:style w:type="paragraph" w:customStyle="1" w:styleId="PjesaTitull">
    <w:name w:val="Pjesa_Titull"/>
    <w:rsid w:val="0071137E"/>
    <w:pPr>
      <w:keepNext/>
      <w:widowControl w:val="0"/>
      <w:jc w:val="center"/>
    </w:pPr>
    <w:rPr>
      <w:rFonts w:ascii="CG Times" w:hAnsi="CG Times"/>
      <w:caps/>
      <w:sz w:val="22"/>
      <w:szCs w:val="22"/>
      <w:lang w:val="en-GB"/>
    </w:rPr>
  </w:style>
  <w:style w:type="paragraph" w:customStyle="1" w:styleId="Shpallja">
    <w:name w:val="Shpallja"/>
    <w:rsid w:val="0071137E"/>
    <w:pPr>
      <w:widowControl w:val="0"/>
      <w:jc w:val="both"/>
    </w:pPr>
    <w:rPr>
      <w:rFonts w:ascii="CG Times" w:hAnsi="CG Times"/>
      <w:b/>
      <w:color w:val="000000"/>
      <w:sz w:val="22"/>
      <w:szCs w:val="22"/>
      <w:lang w:val="sq-AL"/>
    </w:rPr>
  </w:style>
  <w:style w:type="paragraph" w:customStyle="1" w:styleId="Tabele">
    <w:name w:val="Tabele"/>
    <w:rsid w:val="0071137E"/>
    <w:rPr>
      <w:rFonts w:ascii="CG Times" w:eastAsia="MS Mincho" w:hAnsi="CG Times"/>
      <w:sz w:val="22"/>
      <w:lang w:val="en-GB"/>
    </w:rPr>
  </w:style>
  <w:style w:type="paragraph" w:customStyle="1" w:styleId="text">
    <w:name w:val="text"/>
    <w:basedOn w:val="Normal"/>
    <w:rsid w:val="0071137E"/>
    <w:pPr>
      <w:ind w:left="709"/>
      <w:jc w:val="both"/>
    </w:pPr>
    <w:rPr>
      <w:rFonts w:ascii="Arial" w:eastAsia="MS Mincho" w:hAnsi="Arial"/>
      <w:sz w:val="20"/>
      <w:szCs w:val="20"/>
      <w:lang w:val="fr-FR" w:eastAsia="tr-TR"/>
    </w:rPr>
  </w:style>
  <w:style w:type="paragraph" w:customStyle="1" w:styleId="titulli">
    <w:name w:val="titulli"/>
    <w:basedOn w:val="Normal"/>
    <w:rsid w:val="0071137E"/>
    <w:pPr>
      <w:spacing w:before="100" w:beforeAutospacing="1" w:after="100" w:afterAutospacing="1"/>
    </w:pPr>
    <w:rPr>
      <w:rFonts w:eastAsia="MS Mincho"/>
      <w:lang w:val="sq-AL" w:eastAsia="tr-TR"/>
    </w:rPr>
  </w:style>
  <w:style w:type="paragraph" w:customStyle="1" w:styleId="Titulli0">
    <w:name w:val="Titulli"/>
    <w:next w:val="Normal"/>
    <w:rsid w:val="0071137E"/>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71137E"/>
    <w:rPr>
      <w:rFonts w:ascii="CG Times" w:eastAsia="MS Mincho" w:hAnsi="CG Times"/>
      <w:b/>
      <w:caps/>
      <w:sz w:val="22"/>
      <w:szCs w:val="22"/>
      <w:lang w:val="en-GB" w:eastAsia="en-US" w:bidi="ar-SA"/>
    </w:rPr>
  </w:style>
  <w:style w:type="paragraph" w:customStyle="1" w:styleId="TitulliNr">
    <w:name w:val="Titulli_Nr"/>
    <w:rsid w:val="0071137E"/>
    <w:pPr>
      <w:keepNext/>
      <w:widowControl w:val="0"/>
      <w:jc w:val="center"/>
    </w:pPr>
    <w:rPr>
      <w:rFonts w:ascii="CG Times" w:hAnsi="CG Times"/>
      <w:caps/>
      <w:sz w:val="22"/>
      <w:szCs w:val="22"/>
      <w:lang w:val="en-GB"/>
    </w:rPr>
  </w:style>
  <w:style w:type="paragraph" w:customStyle="1" w:styleId="TitulliTitull">
    <w:name w:val="Titulli_Titull"/>
    <w:rsid w:val="0071137E"/>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71137E"/>
    <w:pPr>
      <w:spacing w:before="100" w:beforeAutospacing="1" w:after="100" w:afterAutospacing="1"/>
    </w:pPr>
    <w:rPr>
      <w:rFonts w:eastAsia="MS Mincho"/>
      <w:lang w:val="sq-AL" w:eastAsia="tr-TR"/>
    </w:rPr>
  </w:style>
  <w:style w:type="paragraph" w:customStyle="1" w:styleId="VENDOSI0">
    <w:name w:val="VENDOSI"/>
    <w:next w:val="Normal"/>
    <w:rsid w:val="0071137E"/>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71137E"/>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71137E"/>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71137E"/>
    <w:pPr>
      <w:spacing w:after="160" w:line="240" w:lineRule="exact"/>
    </w:pPr>
    <w:rPr>
      <w:rFonts w:ascii="Tahoma" w:eastAsia="MS Mincho" w:hAnsi="Tahoma"/>
      <w:sz w:val="20"/>
      <w:szCs w:val="20"/>
    </w:rPr>
  </w:style>
  <w:style w:type="paragraph" w:customStyle="1" w:styleId="autoriteti0">
    <w:name w:val="autoriteti"/>
    <w:basedOn w:val="Normal"/>
    <w:rsid w:val="0071137E"/>
    <w:pPr>
      <w:spacing w:before="100" w:beforeAutospacing="1" w:after="100" w:afterAutospacing="1"/>
    </w:pPr>
    <w:rPr>
      <w:rFonts w:eastAsia="MS Mincho"/>
      <w:lang w:val="en-GB" w:eastAsia="en-GB"/>
    </w:rPr>
  </w:style>
  <w:style w:type="paragraph" w:customStyle="1" w:styleId="autoritetiemer0">
    <w:name w:val="autoritetiemer"/>
    <w:basedOn w:val="Normal"/>
    <w:rsid w:val="0071137E"/>
    <w:pPr>
      <w:spacing w:before="100" w:beforeAutospacing="1" w:after="100" w:afterAutospacing="1"/>
    </w:pPr>
    <w:rPr>
      <w:rFonts w:eastAsia="MS Mincho"/>
      <w:lang w:val="en-GB" w:eastAsia="en-GB"/>
    </w:rPr>
  </w:style>
  <w:style w:type="paragraph" w:customStyle="1" w:styleId="AZSectionHeading2">
    <w:name w:val="AZ Section Heading 2"/>
    <w:basedOn w:val="Normal"/>
    <w:rsid w:val="0071137E"/>
    <w:pPr>
      <w:spacing w:after="180"/>
      <w:ind w:left="2160" w:hanging="720"/>
    </w:pPr>
    <w:rPr>
      <w:rFonts w:eastAsia="MS Mincho"/>
      <w:b/>
      <w:iCs/>
    </w:rPr>
  </w:style>
  <w:style w:type="paragraph" w:customStyle="1" w:styleId="BankNormal">
    <w:name w:val="BankNormal"/>
    <w:basedOn w:val="Normal"/>
    <w:rsid w:val="0071137E"/>
    <w:pPr>
      <w:spacing w:after="240"/>
    </w:pPr>
    <w:rPr>
      <w:rFonts w:eastAsia="MS Mincho"/>
      <w:szCs w:val="20"/>
    </w:rPr>
  </w:style>
  <w:style w:type="paragraph" w:customStyle="1" w:styleId="Bullet">
    <w:name w:val="Bullet"/>
    <w:basedOn w:val="Normal"/>
    <w:rsid w:val="0071137E"/>
    <w:pPr>
      <w:numPr>
        <w:ilvl w:val="5"/>
        <w:numId w:val="26"/>
      </w:numPr>
    </w:pPr>
    <w:rPr>
      <w:rFonts w:eastAsia="MS Mincho"/>
    </w:rPr>
  </w:style>
  <w:style w:type="paragraph" w:customStyle="1" w:styleId="BULLETUDHEZIM">
    <w:name w:val="BULLET UDHEZIM"/>
    <w:basedOn w:val="Normal"/>
    <w:rsid w:val="0071137E"/>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71137E"/>
    <w:pPr>
      <w:spacing w:after="240"/>
      <w:outlineLvl w:val="1"/>
    </w:pPr>
    <w:rPr>
      <w:rFonts w:eastAsia="MS Mincho"/>
    </w:rPr>
  </w:style>
  <w:style w:type="paragraph" w:customStyle="1" w:styleId="MainParawithChapter">
    <w:name w:val="Main Para with Chapter#"/>
    <w:basedOn w:val="Normal"/>
    <w:rsid w:val="0071137E"/>
    <w:pPr>
      <w:numPr>
        <w:ilvl w:val="1"/>
        <w:numId w:val="18"/>
      </w:numPr>
      <w:spacing w:after="240"/>
      <w:outlineLvl w:val="1"/>
    </w:pPr>
    <w:rPr>
      <w:rFonts w:eastAsia="MS Mincho"/>
    </w:rPr>
  </w:style>
  <w:style w:type="paragraph" w:customStyle="1" w:styleId="MainParagraph">
    <w:name w:val="Main Paragraph"/>
    <w:basedOn w:val="Normal"/>
    <w:rsid w:val="0071137E"/>
    <w:pPr>
      <w:jc w:val="both"/>
    </w:pPr>
    <w:rPr>
      <w:rFonts w:eastAsia="MS Mincho"/>
    </w:rPr>
  </w:style>
  <w:style w:type="paragraph" w:customStyle="1" w:styleId="Paratable">
    <w:name w:val="Para_table"/>
    <w:basedOn w:val="Normal"/>
    <w:rsid w:val="0071137E"/>
    <w:pPr>
      <w:spacing w:before="60" w:after="60"/>
    </w:pPr>
    <w:rPr>
      <w:rFonts w:ascii="Arial" w:eastAsia="Times" w:hAnsi="Arial" w:cs="Arial"/>
      <w:sz w:val="20"/>
      <w:szCs w:val="20"/>
      <w:lang w:val="en-GB"/>
    </w:rPr>
  </w:style>
  <w:style w:type="paragraph" w:customStyle="1" w:styleId="ParagraphNumbering">
    <w:name w:val="Paragraph Numbering"/>
    <w:basedOn w:val="Normal"/>
    <w:rsid w:val="0071137E"/>
    <w:pPr>
      <w:numPr>
        <w:numId w:val="18"/>
      </w:numPr>
      <w:spacing w:after="240"/>
    </w:pPr>
    <w:rPr>
      <w:rFonts w:eastAsia="MS Mincho"/>
    </w:rPr>
  </w:style>
  <w:style w:type="paragraph" w:customStyle="1" w:styleId="PDSAnnexHeading">
    <w:name w:val="PDS Annex Heading"/>
    <w:next w:val="Normal"/>
    <w:rsid w:val="0071137E"/>
    <w:pPr>
      <w:keepNext/>
      <w:spacing w:after="120"/>
      <w:jc w:val="center"/>
    </w:pPr>
    <w:rPr>
      <w:rFonts w:eastAsia="MS Mincho"/>
      <w:b/>
      <w:sz w:val="24"/>
    </w:rPr>
  </w:style>
  <w:style w:type="paragraph" w:customStyle="1" w:styleId="PDSHeading1">
    <w:name w:val="PDS Heading 1"/>
    <w:next w:val="Normal"/>
    <w:rsid w:val="0071137E"/>
    <w:pPr>
      <w:keepNext/>
      <w:outlineLvl w:val="0"/>
    </w:pPr>
    <w:rPr>
      <w:rFonts w:eastAsia="MS Mincho"/>
      <w:b/>
      <w:caps/>
      <w:sz w:val="24"/>
    </w:rPr>
  </w:style>
  <w:style w:type="paragraph" w:customStyle="1" w:styleId="PDSHeading2">
    <w:name w:val="PDS Heading 2"/>
    <w:next w:val="Normal"/>
    <w:rsid w:val="0071137E"/>
    <w:pPr>
      <w:keepNext/>
    </w:pPr>
    <w:rPr>
      <w:rFonts w:eastAsia="MS Mincho"/>
      <w:b/>
      <w:sz w:val="24"/>
    </w:rPr>
  </w:style>
  <w:style w:type="paragraph" w:customStyle="1" w:styleId="Stil1">
    <w:name w:val="Stil1"/>
    <w:basedOn w:val="Heading1"/>
    <w:rsid w:val="0071137E"/>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71137E"/>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71137E"/>
    <w:pPr>
      <w:numPr>
        <w:ilvl w:val="1"/>
        <w:numId w:val="25"/>
      </w:numPr>
      <w:spacing w:after="240"/>
      <w:outlineLvl w:val="2"/>
    </w:pPr>
    <w:rPr>
      <w:rFonts w:eastAsia="MS Mincho"/>
    </w:rPr>
  </w:style>
  <w:style w:type="paragraph" w:customStyle="1" w:styleId="Sub-Para1underXY">
    <w:name w:val="Sub-Para 1 under X.Y"/>
    <w:basedOn w:val="Normal"/>
    <w:rsid w:val="0071137E"/>
    <w:pPr>
      <w:numPr>
        <w:ilvl w:val="1"/>
        <w:numId w:val="26"/>
      </w:numPr>
      <w:spacing w:after="240"/>
      <w:outlineLvl w:val="2"/>
    </w:pPr>
    <w:rPr>
      <w:rFonts w:eastAsia="MS Mincho"/>
    </w:rPr>
  </w:style>
  <w:style w:type="paragraph" w:customStyle="1" w:styleId="Sub-Para2underX">
    <w:name w:val="Sub-Para 2 under X."/>
    <w:basedOn w:val="Normal"/>
    <w:rsid w:val="0071137E"/>
    <w:pPr>
      <w:numPr>
        <w:ilvl w:val="2"/>
        <w:numId w:val="25"/>
      </w:numPr>
      <w:spacing w:after="240"/>
      <w:outlineLvl w:val="3"/>
    </w:pPr>
    <w:rPr>
      <w:rFonts w:eastAsia="MS Mincho"/>
    </w:rPr>
  </w:style>
  <w:style w:type="paragraph" w:customStyle="1" w:styleId="Sub-Para2underXY">
    <w:name w:val="Sub-Para 2 under X.Y"/>
    <w:basedOn w:val="Normal"/>
    <w:rsid w:val="0071137E"/>
    <w:pPr>
      <w:numPr>
        <w:ilvl w:val="2"/>
        <w:numId w:val="26"/>
      </w:numPr>
      <w:spacing w:after="240"/>
      <w:outlineLvl w:val="3"/>
    </w:pPr>
    <w:rPr>
      <w:rFonts w:eastAsia="MS Mincho"/>
    </w:rPr>
  </w:style>
  <w:style w:type="paragraph" w:customStyle="1" w:styleId="Sub-Para3underX">
    <w:name w:val="Sub-Para 3 under X."/>
    <w:basedOn w:val="Normal"/>
    <w:rsid w:val="0071137E"/>
    <w:pPr>
      <w:numPr>
        <w:ilvl w:val="3"/>
        <w:numId w:val="25"/>
      </w:numPr>
      <w:spacing w:after="240"/>
      <w:outlineLvl w:val="4"/>
    </w:pPr>
    <w:rPr>
      <w:rFonts w:eastAsia="MS Mincho"/>
    </w:rPr>
  </w:style>
  <w:style w:type="paragraph" w:customStyle="1" w:styleId="Sub-Para3underXY">
    <w:name w:val="Sub-Para 3 under X.Y"/>
    <w:basedOn w:val="Normal"/>
    <w:rsid w:val="0071137E"/>
    <w:pPr>
      <w:numPr>
        <w:ilvl w:val="3"/>
        <w:numId w:val="26"/>
      </w:numPr>
      <w:spacing w:after="240"/>
      <w:outlineLvl w:val="4"/>
    </w:pPr>
    <w:rPr>
      <w:rFonts w:eastAsia="MS Mincho"/>
    </w:rPr>
  </w:style>
  <w:style w:type="paragraph" w:customStyle="1" w:styleId="Sub-Para4underX">
    <w:name w:val="Sub-Para 4 under X."/>
    <w:basedOn w:val="Normal"/>
    <w:rsid w:val="0071137E"/>
    <w:pPr>
      <w:numPr>
        <w:ilvl w:val="4"/>
        <w:numId w:val="25"/>
      </w:numPr>
      <w:spacing w:after="240"/>
      <w:outlineLvl w:val="5"/>
    </w:pPr>
    <w:rPr>
      <w:rFonts w:eastAsia="MS Mincho"/>
    </w:rPr>
  </w:style>
  <w:style w:type="paragraph" w:customStyle="1" w:styleId="Sub-Para4underXY">
    <w:name w:val="Sub-Para 4 under X.Y"/>
    <w:basedOn w:val="Normal"/>
    <w:rsid w:val="0071137E"/>
    <w:pPr>
      <w:numPr>
        <w:ilvl w:val="4"/>
        <w:numId w:val="26"/>
      </w:numPr>
      <w:spacing w:after="240"/>
      <w:outlineLvl w:val="5"/>
    </w:pPr>
    <w:rPr>
      <w:rFonts w:eastAsia="MS Mincho"/>
    </w:rPr>
  </w:style>
  <w:style w:type="paragraph" w:customStyle="1" w:styleId="xl24">
    <w:name w:val="xl24"/>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71137E"/>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71137E"/>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71137E"/>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71137E"/>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71137E"/>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71137E"/>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71137E"/>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71137E"/>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71137E"/>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71137E"/>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71137E"/>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71137E"/>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71137E"/>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71137E"/>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71137E"/>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71137E"/>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71137E"/>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71137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71137E"/>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71137E"/>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71137E"/>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71137E"/>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71137E"/>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71137E"/>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71137E"/>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71137E"/>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71137E"/>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71137E"/>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71137E"/>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71137E"/>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71137E"/>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71137E"/>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71137E"/>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styleId="PageNumber">
    <w:name w:val="page number"/>
    <w:basedOn w:val="DefaultParagraphFont"/>
    <w:rsid w:val="00295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1321</Words>
  <Characters>7531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2019-03-22T10:14:00Z</dcterms:created>
  <dcterms:modified xsi:type="dcterms:W3CDTF">2019-03-22T10:14:00Z</dcterms:modified>
</cp:coreProperties>
</file>