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FCD" w:rsidRDefault="008B4FCD" w:rsidP="008B4FCD">
      <w:pPr>
        <w:pStyle w:val="Akti"/>
        <w:keepNext w:val="0"/>
      </w:pPr>
      <w:bookmarkStart w:id="0" w:name="_GoBack"/>
      <w:bookmarkEnd w:id="0"/>
      <w:r w:rsidRPr="00827241">
        <w:t>VENDIM</w:t>
      </w:r>
    </w:p>
    <w:p w:rsidR="008B4FCD" w:rsidRDefault="008B4FCD" w:rsidP="008B4FCD">
      <w:pPr>
        <w:pStyle w:val="NumriData"/>
        <w:keepNext w:val="0"/>
      </w:pPr>
      <w:r>
        <w:t>Nr.383, datë 19.5.2010</w:t>
      </w:r>
    </w:p>
    <w:p w:rsidR="008B4FCD" w:rsidRPr="00827241" w:rsidRDefault="008B4FCD" w:rsidP="008B4FCD">
      <w:pPr>
        <w:pStyle w:val="Paragrafi0"/>
      </w:pPr>
    </w:p>
    <w:p w:rsidR="008B4FCD" w:rsidRPr="00827241" w:rsidRDefault="008B4FCD" w:rsidP="008B4FCD">
      <w:pPr>
        <w:pStyle w:val="Titulli0"/>
        <w:keepNext w:val="0"/>
      </w:pPr>
      <w:r w:rsidRPr="00827241">
        <w:t>PËR</w:t>
      </w:r>
      <w:r>
        <w:t xml:space="preserve"> </w:t>
      </w:r>
      <w:r w:rsidRPr="00827241">
        <w:t>PËRCAKTIMIN E PROCEDURAVE TË SHPËRNDARJES SË FONDIT TË KOMPENSIMIT NË VLERË PËR PRONARËT E PASURIVE  TË PALUAJTSHME, PRONË PRIVATE, QË PREKEN NGA NDËRTIMET INFORMALE</w:t>
      </w:r>
    </w:p>
    <w:p w:rsidR="008B4FCD" w:rsidRDefault="008B4FCD" w:rsidP="008B4FCD">
      <w:pPr>
        <w:pStyle w:val="Paragrafi0"/>
        <w:ind w:firstLine="0"/>
      </w:pPr>
    </w:p>
    <w:p w:rsidR="008B4FCD" w:rsidRPr="009B4DF4" w:rsidRDefault="008B4FCD" w:rsidP="008B4FCD">
      <w:pPr>
        <w:pStyle w:val="Paragrafi0"/>
      </w:pPr>
      <w:r w:rsidRPr="009B4DF4">
        <w:t xml:space="preserve">Në mbështetje të nenit 100 </w:t>
      </w:r>
      <w:r>
        <w:t>të Kushtetutës, të neneve 6 e 8</w:t>
      </w:r>
      <w:r w:rsidRPr="009B4DF4">
        <w:t xml:space="preserve"> të lig</w:t>
      </w:r>
      <w:r>
        <w:t>jit nr.10239, datë 25.2.2010</w:t>
      </w:r>
      <w:r w:rsidRPr="009B4DF4">
        <w:t xml:space="preserve"> “Për krijimin e fondit special të kompens</w:t>
      </w:r>
      <w:r>
        <w:t>imit të pronave”, të nenit 15/1</w:t>
      </w:r>
      <w:r w:rsidRPr="009B4DF4">
        <w:t xml:space="preserve"> t</w:t>
      </w:r>
      <w:r>
        <w:t>ë ligjit nr.9482, datë 3.4.2006</w:t>
      </w:r>
      <w:r w:rsidRPr="009B4DF4">
        <w:t xml:space="preserve"> “Për legalizimin, urbanizimin dhe integrimin e ndërtimeve pa leje”, të ndryshuar, dhe të ligjit nr.9235, datë 29.7.200</w:t>
      </w:r>
      <w:r>
        <w:t>4</w:t>
      </w:r>
      <w:r w:rsidRPr="009B4DF4">
        <w:t xml:space="preserve"> “Për kthimin dhe kompensimin e pronës”,</w:t>
      </w:r>
      <w:r>
        <w:t xml:space="preserve"> të ndryshuar, me propozimin e M</w:t>
      </w:r>
      <w:r w:rsidRPr="009B4DF4">
        <w:t>inistrit të Drejtësisë, Këshilli i Ministrave</w:t>
      </w:r>
    </w:p>
    <w:p w:rsidR="008B4FCD" w:rsidRDefault="008B4FCD" w:rsidP="008B4FCD">
      <w:pPr>
        <w:pStyle w:val="VENDOSI0"/>
        <w:keepNext w:val="0"/>
      </w:pPr>
      <w:r w:rsidRPr="009B4DF4">
        <w:br/>
      </w:r>
      <w:r>
        <w:t>VENDOSI</w:t>
      </w:r>
      <w:r w:rsidRPr="009B4DF4">
        <w:t>:</w:t>
      </w:r>
    </w:p>
    <w:p w:rsidR="008B4FCD" w:rsidRPr="009B4DF4" w:rsidRDefault="008B4FCD" w:rsidP="008B4FCD">
      <w:pPr>
        <w:pStyle w:val="Paragrafi0"/>
        <w:ind w:left="720" w:firstLine="0"/>
      </w:pPr>
    </w:p>
    <w:p w:rsidR="008B4FCD" w:rsidRDefault="008B4FCD" w:rsidP="008B4FCD">
      <w:pPr>
        <w:pStyle w:val="Paragrafi0"/>
      </w:pPr>
      <w:r w:rsidRPr="009B4DF4">
        <w:t>1. Agjencia e Kthimit dhe Kompensimit të Pronave (në vijim AKKP), në zbatim të vendimeve të Këshillit të Ministrave, ku përcaktohet shpërblimi i pronarëve të pasurive të paluajtshme, pronë private, që preken nga ndërtimet informale, njofton publikisht në media dhe/ose nëpërmjet faqes së vet zyrtare, listën e personave që përfitojnë nga fondi i kompensimit të pr</w:t>
      </w:r>
      <w:r>
        <w:t>onave, për periudhën përkatëse.</w:t>
      </w:r>
    </w:p>
    <w:p w:rsidR="008B4FCD" w:rsidRPr="00827241" w:rsidRDefault="008B4FCD" w:rsidP="008B4FCD">
      <w:pPr>
        <w:pStyle w:val="Paragrafi0"/>
      </w:pPr>
      <w:r w:rsidRPr="009B4DF4">
        <w:t>2. Në njoftimin publik</w:t>
      </w:r>
      <w:r w:rsidRPr="00827241">
        <w:t xml:space="preserve"> duhet të përcaktohen: </w:t>
      </w:r>
    </w:p>
    <w:p w:rsidR="008B4FCD" w:rsidRPr="00827241" w:rsidRDefault="008B4FCD" w:rsidP="008B4FCD">
      <w:pPr>
        <w:pStyle w:val="Paragrafi0"/>
      </w:pPr>
      <w:r w:rsidRPr="00827241">
        <w:t>a) gjenealitetet e përfituesit;</w:t>
      </w:r>
    </w:p>
    <w:p w:rsidR="008B4FCD" w:rsidRPr="00827241" w:rsidRDefault="008B4FCD" w:rsidP="008B4FCD">
      <w:pPr>
        <w:pStyle w:val="Paragrafi0"/>
      </w:pPr>
      <w:r w:rsidRPr="00827241">
        <w:t xml:space="preserve">b)  periudha kohore e paraqitjes së kërkesës; </w:t>
      </w:r>
    </w:p>
    <w:p w:rsidR="008B4FCD" w:rsidRPr="00827241" w:rsidRDefault="008B4FCD" w:rsidP="008B4FCD">
      <w:pPr>
        <w:pStyle w:val="Paragrafi0"/>
      </w:pPr>
      <w:r w:rsidRPr="00827241">
        <w:t xml:space="preserve">c) dokumentacioni i nevojshëm shoqërues i kërkesës; </w:t>
      </w:r>
    </w:p>
    <w:p w:rsidR="008B4FCD" w:rsidRPr="00827241" w:rsidRDefault="008B4FCD" w:rsidP="008B4FCD">
      <w:pPr>
        <w:pStyle w:val="Paragrafi0"/>
      </w:pPr>
      <w:r w:rsidRPr="00827241">
        <w:t>ç) vlera e tarifës së shërbimit;</w:t>
      </w:r>
    </w:p>
    <w:p w:rsidR="008B4FCD" w:rsidRPr="00827241" w:rsidRDefault="008B4FCD" w:rsidP="008B4FCD">
      <w:pPr>
        <w:pStyle w:val="Paragrafi0"/>
      </w:pPr>
      <w:r w:rsidRPr="00827241">
        <w:t>d) detyrimi për subjektet përfituese për të hapur, në emër dhe për llogari të tyre,  një llogari bankare në njërën nga bankat e nivelit të dytë.</w:t>
      </w:r>
    </w:p>
    <w:p w:rsidR="008B4FCD" w:rsidRPr="00827241" w:rsidRDefault="008B4FCD" w:rsidP="008B4FCD">
      <w:pPr>
        <w:pStyle w:val="Paragrafi0"/>
      </w:pPr>
      <w:r w:rsidRPr="00827241">
        <w:t>3. Procesi i regjistrimit/pranimit të kërkesave për kompensim fillon 5 (pesë) ditë pas datës së njoftimit publik dhe vazhdon për 30 (tridhjetë) ditë.</w:t>
      </w:r>
    </w:p>
    <w:p w:rsidR="008B4FCD" w:rsidRPr="00827241" w:rsidRDefault="008B4FCD" w:rsidP="008B4FCD">
      <w:pPr>
        <w:pStyle w:val="Paragrafi0"/>
      </w:pPr>
      <w:r w:rsidRPr="00827241">
        <w:t>4. Me urdhër</w:t>
      </w:r>
      <w:r>
        <w:t xml:space="preserve"> të D</w:t>
      </w:r>
      <w:r w:rsidRPr="00827241">
        <w:t>rejtorit të Përgjithshëm të AKKP-së ngrihet grupi i punës për pranimin e shqyrtimin e kërkesave, me objekt shpërblimin e pronarëve të pasurive të paluajtshme, pronë private, që preken nga ndërtimet informale, dhe shpërndarjen e fondit përkatës.</w:t>
      </w:r>
    </w:p>
    <w:p w:rsidR="008B4FCD" w:rsidRPr="00827241" w:rsidRDefault="008B4FCD" w:rsidP="008B4FCD">
      <w:pPr>
        <w:pStyle w:val="Paragrafi0"/>
      </w:pPr>
      <w:r w:rsidRPr="00827241">
        <w:t xml:space="preserve">5. Kjo procedurë kryhet për çdo fond që i kalon AKKP-së sipas </w:t>
      </w:r>
      <w:r>
        <w:t>ligjit nr.10239, datë 25.2.2010</w:t>
      </w:r>
      <w:r w:rsidRPr="00827241">
        <w:t xml:space="preserve"> “Për krijimin e fondit special të kompensimit të pronave”, dhe në zbatim të vendimeve të Këshillit të Ministrave, ku përcaktohet shpërblimi i pronarëve të pasurive të paluajtshme, pronë private, që preken nga ndërtimet informale. Kompensimi bëhet në masën e përcaktuar në vendimin e Këshillit të Ministrave, ku parashikohet shpërblimi i pronarëve të pasurive të paluajtshme, pronë private, që preken nga ndërtimet informale.</w:t>
      </w:r>
    </w:p>
    <w:p w:rsidR="008B4FCD" w:rsidRPr="00827241" w:rsidRDefault="008B4FCD" w:rsidP="008B4FCD">
      <w:pPr>
        <w:pStyle w:val="Paragrafi0"/>
      </w:pPr>
      <w:r w:rsidRPr="00827241">
        <w:t xml:space="preserve">6. Subjekti apo përfaqësuesi me prokurë i tij, brenda afatit të përcaktuar në njoftimin publik, paraqet pranë zyrës së AKKP-së, dokumentacionin e mëposhtëm: </w:t>
      </w:r>
    </w:p>
    <w:p w:rsidR="008B4FCD" w:rsidRPr="00827241" w:rsidRDefault="008B4FCD" w:rsidP="008B4FCD">
      <w:pPr>
        <w:pStyle w:val="Paragrafi0"/>
      </w:pPr>
      <w:r w:rsidRPr="00827241">
        <w:t>a) Kërkesën për kompensimin e pronës sipas formatit tip, bashkëlidhur këtij vendimi;</w:t>
      </w:r>
    </w:p>
    <w:p w:rsidR="008B4FCD" w:rsidRPr="00827241" w:rsidRDefault="008B4FCD" w:rsidP="008B4FCD">
      <w:pPr>
        <w:pStyle w:val="Paragrafi0"/>
      </w:pPr>
      <w:r w:rsidRPr="00827241">
        <w:t>b) Dëshminë e trashëgimisë për të gjithë trashëgimtarët e ligjshëm të subjektit përfitues, sipas radhës së trashëgimtarëve, në përputhje me përcaktimet e Kodit Civil. Për dëshmitë e trashëgimive të lëshuara nga gjykata për testamentin e bërë me akt noterial të sillet certifikatë familjare e personit, për të cilin është lëshuar kjo dëshmi trashëgimie;</w:t>
      </w:r>
    </w:p>
    <w:p w:rsidR="008B4FCD" w:rsidRPr="00827241" w:rsidRDefault="008B4FCD" w:rsidP="008B4FCD">
      <w:pPr>
        <w:pStyle w:val="Paragrafi0"/>
      </w:pPr>
      <w:r w:rsidRPr="00827241">
        <w:t>c) Prokurën e posaçme, të nënshkruar nga të gjitha subjektet që përfitojnë kompensim, ku si tagër i nevojshëm të jetë edhe e drejta për të tërhequr vlerën financiare, në emër të tyre;</w:t>
      </w:r>
    </w:p>
    <w:p w:rsidR="008B4FCD" w:rsidRPr="00827241" w:rsidRDefault="008B4FCD" w:rsidP="008B4FCD">
      <w:pPr>
        <w:pStyle w:val="Paragrafi0"/>
      </w:pPr>
      <w:r w:rsidRPr="00827241">
        <w:t> ç) Vërtetimin e lëshuar nga banka e nivelit të dytë për hapjen e llogarisë bankare në emër dhe për llogari të subjektit përfitues, ku përcaktohet edhe numri i llogarisë bankare ku do të transferohet vlera financiare e përfituar;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d) Fotokopjen e dokumentit të identifikimit, si dhe certifikatën familjare të kërkuesit;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lastRenderedPageBreak/>
        <w:t>dh) Mandatpagesën, që vërteton pagimin e tarifës së shërbimit. 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 xml:space="preserve"> 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7. AKKP-ja bashkëpunon me ALUIZNI-n dhe zyrat vendore të regjistrimit të pasurive të paluajtshme për verifikimin e konfirmimin e të dhënave për subjektet përfituese.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8. Grupi i punës, sipas pikës 4 të këtij vendimi, brenda 45 (dyzet e pesë) ditëve nga përfundimi i afatit për paraqitjen e kërkesës për kompensimin e pronës, kryen veprimet e mëposhtme: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a) Verifikon legjitimimin e kërkuesit për çdo kërkesë për kompensimin e pronës;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 xml:space="preserve">b) Kontrollon dokumentacionin e paraqitur nga subjekti përfitues; 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c) Konfirmon të dhëna të tjera të nevojshme pranë institucioneve përkatëse;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ç) Harton relacionin, në të cilin i propozon Drejtorit të Përgjithshëm kalimin e shumës në numrin e llogarisë bankare përkatëse;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d) Harton listën e subjekteve që kompensohen.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9. Drejtori i Përgjithshëm i AKKP-së,  në përfundim të procesit të verifikimit nga grupi i punës,: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a) nxjerr vendimin për miratimin e listës së subjekteve që kompensohen, ku përcaktohet edhe numri i llogarisë bankare ku do të derdhet vlera e kompensimit;</w:t>
      </w:r>
    </w:p>
    <w:p w:rsidR="008B4FCD" w:rsidRPr="00827241" w:rsidRDefault="008B4FCD" w:rsidP="008B4FCD">
      <w:pPr>
        <w:pStyle w:val="Paragrafi0"/>
      </w:pPr>
      <w:r w:rsidRPr="00827241">
        <w:t>b) urdhëron publikimin e listës së subjekteve që kompensohen;</w:t>
      </w:r>
    </w:p>
    <w:p w:rsidR="008B4FCD" w:rsidRPr="00827241" w:rsidRDefault="008B4FCD" w:rsidP="008B4FCD">
      <w:pPr>
        <w:pStyle w:val="Paragrafi0"/>
      </w:pPr>
      <w:r w:rsidRPr="00827241">
        <w:t>c) njofton kërkuesin, që nuk përfshihet në listën e subjekteve që kompensohen, duke përcaktuar arsyet e mospërfshirjes.</w:t>
      </w:r>
    </w:p>
    <w:p w:rsidR="008B4FCD" w:rsidRPr="00827241" w:rsidRDefault="008B4FCD" w:rsidP="008B4FCD">
      <w:pPr>
        <w:pStyle w:val="Paragrafi0"/>
      </w:pPr>
      <w:r w:rsidRPr="00827241">
        <w:t>10. AKKP-ja kryen veprimet me degën e thesarit dhe bankën e nivelit të dytë për derdhjen e shumës në depozitën bankare, të hapur për këtë qëllim nga subjekti përfitues, në përputhje me procedurat e përcaktuara në legjislacionin në fu</w:t>
      </w:r>
      <w:r>
        <w:t>qi për kryerjen e pagesave nga Buxheti i S</w:t>
      </w:r>
      <w:r w:rsidRPr="00827241">
        <w:t>htetit.</w:t>
      </w:r>
    </w:p>
    <w:p w:rsidR="008B4FCD" w:rsidRPr="00827241" w:rsidRDefault="008B4FCD" w:rsidP="008B4FCD">
      <w:pPr>
        <w:pStyle w:val="Paragrafi0"/>
      </w:pPr>
      <w:r w:rsidRPr="00827241">
        <w:t>11. Me hyrjen në fuqi të këtij vendimi, AKKP-ja realizon ndarjen e fondit aktual të kompensimit të pronave në vlerë proporcionale me masën përkatëse të parashikuar në listat bashkëlidhur vendimeve, të miratuara deri më tani.</w:t>
      </w:r>
    </w:p>
    <w:p w:rsidR="008B4FCD" w:rsidRPr="00827241" w:rsidRDefault="008B4FCD" w:rsidP="008B4FCD">
      <w:pPr>
        <w:pStyle w:val="Paragrafi0"/>
      </w:pPr>
      <w:r w:rsidRPr="00827241">
        <w:t>12. Ngarkohen Ministria e Drejtësisë dhe Agjencia e Kthimit dhe Kompensimit të Pronave për zbatimin e këtij vendimi.</w:t>
      </w:r>
    </w:p>
    <w:p w:rsidR="008B4FCD" w:rsidRPr="00827241" w:rsidRDefault="008B4FCD" w:rsidP="008B4FCD">
      <w:pPr>
        <w:pStyle w:val="Paragrafi0"/>
      </w:pPr>
      <w:r w:rsidRPr="00827241">
        <w:t>Ky ven</w:t>
      </w:r>
      <w:r>
        <w:t>dim hyn në fuqi pas botimit në Fletoren Zyrtare</w:t>
      </w:r>
      <w:r w:rsidRPr="00827241">
        <w:t>.</w:t>
      </w:r>
    </w:p>
    <w:p w:rsidR="008B4FCD" w:rsidRDefault="008B4FCD" w:rsidP="008B4FCD">
      <w:pPr>
        <w:pStyle w:val="Paragrafi0"/>
        <w:ind w:firstLine="0"/>
      </w:pPr>
    </w:p>
    <w:p w:rsidR="008B4FCD" w:rsidRPr="008B4FCD" w:rsidRDefault="008B4FCD" w:rsidP="008B4FCD">
      <w:pPr>
        <w:pStyle w:val="Autoriteti"/>
        <w:keepNext w:val="0"/>
        <w:rPr>
          <w:lang w:val="it-IT"/>
        </w:rPr>
      </w:pPr>
      <w:r w:rsidRPr="008B4FCD">
        <w:rPr>
          <w:lang w:val="it-IT"/>
        </w:rPr>
        <w:t>KRYEMINISTRI</w:t>
      </w:r>
    </w:p>
    <w:p w:rsidR="008B4FCD" w:rsidRPr="008B4FCD" w:rsidRDefault="008B4FCD" w:rsidP="008B4FCD">
      <w:pPr>
        <w:pStyle w:val="AutoritetiEmer"/>
        <w:rPr>
          <w:lang w:val="it-IT"/>
        </w:rPr>
      </w:pPr>
      <w:r w:rsidRPr="008B4FCD">
        <w:rPr>
          <w:lang w:val="it-IT"/>
        </w:rPr>
        <w:t>Sali  Berisha</w:t>
      </w:r>
    </w:p>
    <w:p w:rsidR="008B4FCD" w:rsidRPr="008B4FCD" w:rsidRDefault="008B4FCD" w:rsidP="008B4FCD">
      <w:pPr>
        <w:pStyle w:val="Paragrafi0"/>
        <w:rPr>
          <w:lang w:val="it-IT"/>
        </w:rPr>
      </w:pPr>
    </w:p>
    <w:p w:rsidR="008B4FCD" w:rsidRPr="008B4FCD" w:rsidRDefault="008B4FCD" w:rsidP="008B4FCD">
      <w:pPr>
        <w:pStyle w:val="Paragrafi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  <w:r w:rsidRPr="008B4FCD">
        <w:rPr>
          <w:lang w:val="it-IT"/>
        </w:rPr>
        <w:t>KËRKESË</w:t>
      </w:r>
    </w:p>
    <w:p w:rsidR="008B4FCD" w:rsidRPr="008B4FCD" w:rsidRDefault="008B4FCD" w:rsidP="008B4FCD">
      <w:pPr>
        <w:pStyle w:val="Paragrafi0"/>
        <w:rPr>
          <w:lang w:val="it-IT"/>
        </w:rPr>
      </w:pPr>
    </w:p>
    <w:p w:rsidR="008B4FCD" w:rsidRPr="008B4FCD" w:rsidRDefault="008B4FCD" w:rsidP="008B4FCD">
      <w:pPr>
        <w:pStyle w:val="Titulli0"/>
        <w:keepNext w:val="0"/>
        <w:rPr>
          <w:lang w:val="it-IT"/>
        </w:rPr>
      </w:pPr>
      <w:r w:rsidRPr="008B4FCD">
        <w:rPr>
          <w:lang w:val="it-IT"/>
        </w:rPr>
        <w:t>PËR KOMPENSIMIN E PRONËS</w:t>
      </w:r>
    </w:p>
    <w:p w:rsidR="008B4FCD" w:rsidRPr="008B4FCD" w:rsidRDefault="008B4FCD" w:rsidP="008B4FCD">
      <w:pPr>
        <w:pStyle w:val="Paragrafi0"/>
        <w:rPr>
          <w:lang w:val="it-IT"/>
        </w:rPr>
      </w:pPr>
    </w:p>
    <w:p w:rsidR="008B4FCD" w:rsidRDefault="008B4FCD" w:rsidP="008B4FCD">
      <w:pPr>
        <w:pStyle w:val="Paragrafi0"/>
      </w:pPr>
      <w:r w:rsidRPr="00F0777B">
        <w:t>Drejtuar:</w:t>
      </w:r>
      <w:r>
        <w:t xml:space="preserve"> AGJENCISË SË KTHIMIT DHE KOMPENSIMIT TË PRONAVE, TIRANË</w:t>
      </w:r>
    </w:p>
    <w:p w:rsidR="008B4FCD" w:rsidRDefault="008B4FCD" w:rsidP="008B4FCD">
      <w:pPr>
        <w:pStyle w:val="Paragrafi0"/>
      </w:pPr>
    </w:p>
    <w:p w:rsidR="008B4FCD" w:rsidRPr="008B4FCD" w:rsidRDefault="008B4FCD" w:rsidP="008B4FCD">
      <w:pPr>
        <w:pStyle w:val="Paragrafi0"/>
        <w:jc w:val="right"/>
        <w:rPr>
          <w:lang w:val="it-IT"/>
        </w:rPr>
      </w:pPr>
      <w:r w:rsidRPr="008B4FCD">
        <w:rPr>
          <w:lang w:val="it-IT"/>
        </w:rPr>
        <w:t>Data e paraqitjes së kërkesës: ____/_____2010</w:t>
      </w:r>
    </w:p>
    <w:p w:rsidR="008B4FCD" w:rsidRPr="008B4FCD" w:rsidRDefault="008B4FCD" w:rsidP="008B4FCD">
      <w:pPr>
        <w:pStyle w:val="Paragrafi0"/>
        <w:rPr>
          <w:b/>
          <w:lang w:val="it-IT"/>
        </w:rPr>
      </w:pPr>
      <w:r w:rsidRPr="008B4FCD">
        <w:rPr>
          <w:b/>
          <w:lang w:val="it-IT"/>
        </w:rPr>
        <w:t>Subjekti përfitues: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________________</w:t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  <w:t>________________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________________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Emri</w:t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  <w:t>Atësia</w:t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  <w:t>Mbiemri</w:t>
      </w:r>
    </w:p>
    <w:p w:rsidR="008B4FCD" w:rsidRPr="008B4FCD" w:rsidRDefault="008B4FCD" w:rsidP="008B4FCD">
      <w:pPr>
        <w:pStyle w:val="Paragrafi0"/>
        <w:rPr>
          <w:lang w:val="it-IT"/>
        </w:rPr>
      </w:pPr>
    </w:p>
    <w:p w:rsidR="008B4FCD" w:rsidRPr="008B4FCD" w:rsidRDefault="008B4FCD" w:rsidP="008B4FCD">
      <w:pPr>
        <w:pStyle w:val="Paragrafi0"/>
        <w:rPr>
          <w:b/>
          <w:lang w:val="it-IT"/>
        </w:rPr>
      </w:pPr>
      <w:r w:rsidRPr="008B4FCD">
        <w:rPr>
          <w:b/>
          <w:lang w:val="it-IT"/>
        </w:rPr>
        <w:t>Përfaqësuesi me prokurë i subjektit përfitues, që paraqet kërkesën:</w:t>
      </w:r>
    </w:p>
    <w:p w:rsidR="008B4FCD" w:rsidRPr="008B4FCD" w:rsidRDefault="008B4FCD" w:rsidP="008B4FCD">
      <w:pPr>
        <w:pStyle w:val="Paragrafi0"/>
        <w:rPr>
          <w:lang w:val="it-IT"/>
        </w:rPr>
      </w:pP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________________</w:t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  <w:t>_________________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________________</w:t>
      </w: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Emri</w:t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  <w:t>Atësia</w:t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  <w:t>Mbiemri</w:t>
      </w:r>
    </w:p>
    <w:p w:rsidR="008B4FCD" w:rsidRPr="008B4FCD" w:rsidRDefault="008B4FCD" w:rsidP="008B4FCD">
      <w:pPr>
        <w:pStyle w:val="Paragrafi0"/>
        <w:rPr>
          <w:lang w:val="it-IT"/>
        </w:rPr>
      </w:pPr>
    </w:p>
    <w:p w:rsidR="008B4FCD" w:rsidRPr="008B4FCD" w:rsidRDefault="008B4FCD" w:rsidP="008B4FCD">
      <w:pPr>
        <w:pStyle w:val="Paragrafi0"/>
        <w:rPr>
          <w:rFonts w:cs="Sylfaen"/>
          <w:b/>
          <w:lang w:val="it-IT"/>
        </w:rPr>
      </w:pPr>
      <w:r w:rsidRPr="008B4FCD">
        <w:rPr>
          <w:b/>
          <w:lang w:val="it-IT"/>
        </w:rPr>
        <w:t>Adresa e subjektit përfitues ose e përfaqësuesit t</w:t>
      </w:r>
      <w:r w:rsidRPr="008B4FCD">
        <w:rPr>
          <w:rFonts w:cs="Sylfaen"/>
          <w:b/>
          <w:lang w:val="it-IT"/>
        </w:rPr>
        <w:t>ë tij me prokurë:</w:t>
      </w:r>
    </w:p>
    <w:p w:rsidR="008B4FCD" w:rsidRPr="008B4FCD" w:rsidRDefault="008B4FCD" w:rsidP="008B4FCD">
      <w:pPr>
        <w:pStyle w:val="Paragrafi0"/>
        <w:rPr>
          <w:rFonts w:cs="Sylfaen"/>
          <w:lang w:val="it-IT"/>
        </w:rPr>
      </w:pPr>
    </w:p>
    <w:p w:rsidR="008B4FCD" w:rsidRPr="008B4FCD" w:rsidRDefault="008B4FCD" w:rsidP="008B4FCD">
      <w:pPr>
        <w:pStyle w:val="Paragrafi0"/>
        <w:rPr>
          <w:rFonts w:cs="Sylfaen"/>
          <w:lang w:val="it-IT"/>
        </w:rPr>
      </w:pPr>
      <w:r w:rsidRPr="008B4FCD">
        <w:rPr>
          <w:rFonts w:cs="Sylfaen"/>
          <w:lang w:val="it-IT"/>
        </w:rPr>
        <w:t>________________</w:t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  <w:t>_________________</w:t>
      </w:r>
    </w:p>
    <w:p w:rsidR="008B4FCD" w:rsidRPr="008B4FCD" w:rsidRDefault="008B4FCD" w:rsidP="008B4FCD">
      <w:pPr>
        <w:pStyle w:val="Paragrafi0"/>
        <w:rPr>
          <w:rFonts w:cs="Sylfaen"/>
          <w:lang w:val="it-IT"/>
        </w:rPr>
      </w:pPr>
      <w:r w:rsidRPr="008B4FCD">
        <w:rPr>
          <w:rFonts w:cs="Sylfaen"/>
          <w:lang w:val="it-IT"/>
        </w:rPr>
        <w:t>________________</w:t>
      </w:r>
    </w:p>
    <w:p w:rsidR="008B4FCD" w:rsidRPr="008B4FCD" w:rsidRDefault="008B4FCD" w:rsidP="008B4FCD">
      <w:pPr>
        <w:pStyle w:val="Paragrafi0"/>
        <w:rPr>
          <w:rFonts w:cs="Sylfaen"/>
          <w:lang w:val="it-IT"/>
        </w:rPr>
      </w:pPr>
      <w:r w:rsidRPr="008B4FCD">
        <w:rPr>
          <w:rFonts w:cs="Sylfaen"/>
          <w:lang w:val="it-IT"/>
        </w:rPr>
        <w:t>Qarku</w:t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  <w:t>Qyteti</w:t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  <w:t>Fshati</w:t>
      </w:r>
    </w:p>
    <w:p w:rsidR="008B4FCD" w:rsidRPr="008B4FCD" w:rsidRDefault="008B4FCD" w:rsidP="008B4FCD">
      <w:pPr>
        <w:pStyle w:val="Paragrafi0"/>
        <w:rPr>
          <w:rFonts w:cs="Sylfaen"/>
          <w:lang w:val="it-IT"/>
        </w:rPr>
      </w:pPr>
    </w:p>
    <w:p w:rsidR="008B4FCD" w:rsidRPr="008B4FCD" w:rsidRDefault="008B4FCD" w:rsidP="008B4FCD">
      <w:pPr>
        <w:pStyle w:val="Paragrafi0"/>
        <w:rPr>
          <w:rFonts w:cs="Sylfaen"/>
          <w:lang w:val="it-IT"/>
        </w:rPr>
      </w:pPr>
      <w:r w:rsidRPr="008B4FCD">
        <w:rPr>
          <w:rFonts w:cs="Sylfaen"/>
          <w:lang w:val="it-IT"/>
        </w:rPr>
        <w:t>______________</w:t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</w:r>
      <w:r w:rsidRPr="008B4FCD">
        <w:rPr>
          <w:rFonts w:cs="Sylfaen"/>
          <w:lang w:val="it-IT"/>
        </w:rPr>
        <w:tab/>
        <w:t>_________________</w:t>
      </w:r>
    </w:p>
    <w:p w:rsidR="008B4FCD" w:rsidRPr="008B4FCD" w:rsidRDefault="008B4FCD" w:rsidP="008B4FCD">
      <w:pPr>
        <w:pStyle w:val="Paragrafi0"/>
        <w:rPr>
          <w:rFonts w:cs="Sylfaen"/>
          <w:lang w:val="it-IT"/>
        </w:rPr>
      </w:pPr>
      <w:r w:rsidRPr="008B4FCD">
        <w:rPr>
          <w:rFonts w:cs="Sylfaen"/>
          <w:lang w:val="it-IT"/>
        </w:rPr>
        <w:t>______________</w:t>
      </w:r>
    </w:p>
    <w:p w:rsidR="008B4FCD" w:rsidRPr="008B4FCD" w:rsidRDefault="008B4FCD" w:rsidP="008B4FCD">
      <w:pPr>
        <w:pStyle w:val="Paragrafi0"/>
        <w:rPr>
          <w:lang w:val="it-IT"/>
        </w:rPr>
      </w:pPr>
    </w:p>
    <w:p w:rsidR="008B4FCD" w:rsidRPr="008B4FCD" w:rsidRDefault="008B4FCD" w:rsidP="008B4FCD">
      <w:pPr>
        <w:pStyle w:val="Paragrafi0"/>
        <w:rPr>
          <w:lang w:val="it-IT"/>
        </w:rPr>
      </w:pPr>
      <w:r w:rsidRPr="008B4FCD">
        <w:rPr>
          <w:lang w:val="it-IT"/>
        </w:rPr>
        <w:t>Lagjja</w:t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  <w:t>Rruga</w:t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</w:r>
      <w:r w:rsidRPr="008B4FCD">
        <w:rPr>
          <w:lang w:val="it-IT"/>
        </w:rPr>
        <w:tab/>
        <w:t>Numri i banesës</w:t>
      </w:r>
    </w:p>
    <w:p w:rsidR="008B4FCD" w:rsidRPr="008B4FCD" w:rsidRDefault="008B4FCD" w:rsidP="008B4FCD">
      <w:pPr>
        <w:pStyle w:val="Paragrafi0"/>
        <w:rPr>
          <w:lang w:val="it-IT"/>
        </w:rPr>
      </w:pPr>
    </w:p>
    <w:p w:rsidR="008B4FCD" w:rsidRDefault="008B4FCD" w:rsidP="008B4FCD">
      <w:pPr>
        <w:pStyle w:val="Paragrafi0"/>
      </w:pPr>
      <w:r>
        <w:t>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</w:t>
      </w:r>
    </w:p>
    <w:p w:rsidR="008B4FCD" w:rsidRPr="00F0777B" w:rsidRDefault="008B4FCD" w:rsidP="008B4FCD">
      <w:pPr>
        <w:pStyle w:val="Paragrafi0"/>
      </w:pPr>
      <w:r>
        <w:t>______________</w:t>
      </w:r>
      <w:r>
        <w:tab/>
      </w:r>
      <w:r>
        <w:tab/>
      </w:r>
      <w:r>
        <w:tab/>
      </w:r>
    </w:p>
    <w:p w:rsidR="008B4FCD" w:rsidRDefault="008B4FCD" w:rsidP="008B4FCD">
      <w:pPr>
        <w:pStyle w:val="Paragrafi0"/>
      </w:pPr>
      <w:r>
        <w:t>Telefon</w:t>
      </w:r>
      <w:r>
        <w:tab/>
      </w:r>
      <w:r>
        <w:tab/>
      </w:r>
      <w:r>
        <w:tab/>
      </w:r>
      <w:r>
        <w:tab/>
      </w:r>
      <w:r>
        <w:tab/>
        <w:t>Celular</w:t>
      </w:r>
      <w:r>
        <w:tab/>
      </w:r>
      <w:r>
        <w:tab/>
      </w:r>
      <w:r>
        <w:tab/>
      </w:r>
      <w:r>
        <w:tab/>
      </w:r>
      <w:r>
        <w:tab/>
        <w:t>e-mail</w:t>
      </w:r>
    </w:p>
    <w:p w:rsidR="008B4FCD" w:rsidRDefault="008B4FCD" w:rsidP="008B4FCD">
      <w:pPr>
        <w:pStyle w:val="Paragrafi0"/>
      </w:pPr>
    </w:p>
    <w:p w:rsidR="008B4FCD" w:rsidRDefault="008B4FCD" w:rsidP="008B4FCD">
      <w:pPr>
        <w:pStyle w:val="Paragrafi0"/>
      </w:pPr>
      <w:r>
        <w:t xml:space="preserve">Në përputhje me nenin 15/1 të ligjit nr.9482, datë 3.4.2006 “Për legalizimin, </w:t>
      </w:r>
      <w:smartTag w:uri="urn:schemas-microsoft-com:office:smarttags" w:element="City">
        <w:smartTag w:uri="urn:schemas-microsoft-com:office:smarttags" w:element="place">
          <w:r>
            <w:t>ur</w:t>
          </w:r>
        </w:smartTag>
      </w:smartTag>
      <w:r>
        <w:t>banizimin dhe integrimin e ndërtimeve pa leje”, të ndryshuar, neneve 5 dhe 6 të ligjit nr.10 239, datë 25.2.2010 “Për krijimin e fondit special të kompensimit të pronave”, si dhe vendimit të Këshillit të Ministrave nr.__________, datë_____/______, kërkoj kompensimin e pasurisë së paluajtshme, që preket nga ndërtimet informale.</w:t>
      </w:r>
    </w:p>
    <w:p w:rsidR="008B4FCD" w:rsidRDefault="008B4FCD" w:rsidP="008B4FCD">
      <w:pPr>
        <w:pStyle w:val="Paragrafi0"/>
      </w:pPr>
      <w:r>
        <w:t xml:space="preserve">Në listën bashkëlidhur vendimit të Këshillit të Ministrave nr.___________, </w:t>
      </w:r>
      <w:r>
        <w:lastRenderedPageBreak/>
        <w:t>datë_____/_____/______, mbaj numrin rendor_________.</w:t>
      </w:r>
    </w:p>
    <w:p w:rsidR="008B4FCD" w:rsidRDefault="008B4FCD" w:rsidP="008B4FCD">
      <w:pPr>
        <w:pStyle w:val="Paragrafi0"/>
      </w:pPr>
    </w:p>
    <w:p w:rsidR="008B4FCD" w:rsidRDefault="008B4FCD" w:rsidP="008B4FCD">
      <w:pPr>
        <w:pStyle w:val="Paragrafi0"/>
        <w:jc w:val="right"/>
      </w:pPr>
      <w:r>
        <w:t>Kërkuesi</w:t>
      </w:r>
    </w:p>
    <w:p w:rsidR="008B4FCD" w:rsidRPr="00F0777B" w:rsidRDefault="008B4FCD" w:rsidP="008B4FCD">
      <w:pPr>
        <w:pStyle w:val="Paragrafi0"/>
        <w:jc w:val="right"/>
      </w:pPr>
      <w:r>
        <w:t>__________________</w:t>
      </w:r>
    </w:p>
    <w:p w:rsidR="008B4FCD" w:rsidRPr="00F0777B" w:rsidRDefault="008B4FCD" w:rsidP="008B4FCD">
      <w:pPr>
        <w:pStyle w:val="Paragrafi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(emri,atësia,mbiemri)</w:t>
      </w:r>
    </w:p>
    <w:p w:rsidR="008B4FCD" w:rsidRPr="00F0777B" w:rsidRDefault="008B4FCD" w:rsidP="008B4FCD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856"/>
      </w:tblGrid>
      <w:tr w:rsidR="008B4FCD" w:rsidTr="008B4FCD">
        <w:tc>
          <w:tcPr>
            <w:tcW w:w="9287" w:type="dxa"/>
          </w:tcPr>
          <w:p w:rsidR="008B4FCD" w:rsidRDefault="008B4FCD" w:rsidP="008B4FCD">
            <w:pPr>
              <w:pStyle w:val="Paragrafi0"/>
              <w:ind w:firstLine="0"/>
            </w:pPr>
            <w:r>
              <w:t xml:space="preserve">Shënim: Ky formular është dokument zyrtar. </w:t>
            </w:r>
            <w:smartTag w:uri="urn:schemas-microsoft-com:office:smarttags" w:element="place">
              <w:r>
                <w:t>Para</w:t>
              </w:r>
            </w:smartTag>
            <w:r>
              <w:t>qitja e të dhënave të rreme ose fshehja e tyre passjell përjashtimin e menjëhershëm nga çdo procedurë të mëtejshme, si dhe përgjegjësi penale sipas ligjit.</w:t>
            </w:r>
          </w:p>
        </w:tc>
      </w:tr>
    </w:tbl>
    <w:p w:rsidR="008B4FCD" w:rsidRDefault="008B4FCD" w:rsidP="008B4FCD">
      <w:pPr>
        <w:pStyle w:val="Paragrafi0"/>
      </w:pPr>
    </w:p>
    <w:sectPr w:rsidR="008B4F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4FC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4FCD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24B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80F078-F358-43CB-B3D3-96D8392C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FC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B4FC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B4FC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B4FCD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8B4FCD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