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EFA" w:rsidRPr="001A437B" w:rsidRDefault="002A7EFA" w:rsidP="002A7EFA">
      <w:pPr>
        <w:pStyle w:val="Akti"/>
        <w:keepNext w:val="0"/>
      </w:pPr>
      <w:bookmarkStart w:id="0" w:name="_GoBack"/>
      <w:bookmarkEnd w:id="0"/>
      <w:r w:rsidRPr="001A437B">
        <w:t>Vendim</w:t>
      </w:r>
    </w:p>
    <w:p w:rsidR="002A7EFA" w:rsidRPr="001A437B" w:rsidRDefault="002A7EFA" w:rsidP="002A7EFA">
      <w:pPr>
        <w:pStyle w:val="NumriData"/>
        <w:keepNext w:val="0"/>
        <w:rPr>
          <w:szCs w:val="22"/>
        </w:rPr>
      </w:pPr>
      <w:r w:rsidRPr="001A437B">
        <w:rPr>
          <w:szCs w:val="22"/>
        </w:rPr>
        <w:t>Nr.417, datë 2.6.2010</w:t>
      </w:r>
    </w:p>
    <w:p w:rsidR="002A7EFA" w:rsidRPr="001A437B" w:rsidRDefault="002A7EFA" w:rsidP="002A7EFA">
      <w:pPr>
        <w:pStyle w:val="Paragrafi0"/>
        <w:rPr>
          <w:szCs w:val="22"/>
        </w:rPr>
      </w:pPr>
    </w:p>
    <w:p w:rsidR="002A7EFA" w:rsidRPr="001A437B" w:rsidRDefault="002A7EFA" w:rsidP="002A7EFA">
      <w:pPr>
        <w:pStyle w:val="Titulli0"/>
        <w:keepNext w:val="0"/>
      </w:pPr>
      <w:r w:rsidRPr="001A437B">
        <w:t>Për kalimin në përgjegjësi administrimi, nga Ministria e Mbrojtjes Ministrisë së Punëve Publike dhe Transportit, për Drejtorinë e Përgjithshme të Rrugëve, të një sipërfaqeje nga trualli funksional i pronës nr.246, “Ish-bateri ABD”, në shkëmbin e Kavajës, Shkallnuer, Durrës dhe për një ndryshim në vendimin nr.515, datë 18.7.2003 të Këshillit të Ministrave “Për miratimin e listës së inventarit të pronave të paluajtshme, shtetërore, të cilat i kalojnë në përgjegjësi administrimi Ministrisë së Mbrojtjes”, të ndryshuar</w:t>
      </w:r>
    </w:p>
    <w:p w:rsidR="002A7EFA" w:rsidRPr="001A437B" w:rsidRDefault="002A7EFA" w:rsidP="002A7EFA">
      <w:pPr>
        <w:pStyle w:val="Paragrafi0"/>
        <w:rPr>
          <w:szCs w:val="22"/>
        </w:rPr>
      </w:pPr>
    </w:p>
    <w:p w:rsidR="002A7EFA" w:rsidRPr="001A437B" w:rsidRDefault="002A7EFA" w:rsidP="002A7EFA">
      <w:pPr>
        <w:pStyle w:val="Paragrafi0"/>
        <w:rPr>
          <w:szCs w:val="22"/>
        </w:rPr>
      </w:pPr>
      <w:r w:rsidRPr="001A437B">
        <w:rPr>
          <w:szCs w:val="22"/>
        </w:rPr>
        <w:t>Në mbështetje të nenit 100 të Kushtetutës dhe të neneve 2, shkronja “b” e 15, shkronja “c” të ligjit nr.8743, datë 22.2.2001 “Për pronat e paluajtshme të shtetit”, me propozimin e Ministrit të Mbrojtjes dhe Ministrit të Punëve Publike dhe Transportit, Këshilli i Ministrave</w:t>
      </w:r>
    </w:p>
    <w:p w:rsidR="002A7EFA" w:rsidRPr="001A437B" w:rsidRDefault="002A7EFA" w:rsidP="002A7EFA">
      <w:pPr>
        <w:pStyle w:val="Paragrafi0"/>
        <w:rPr>
          <w:szCs w:val="22"/>
        </w:rPr>
      </w:pPr>
    </w:p>
    <w:p w:rsidR="002A7EFA" w:rsidRPr="001A437B" w:rsidRDefault="002A7EFA" w:rsidP="002A7EFA">
      <w:pPr>
        <w:pStyle w:val="VENDOSI0"/>
        <w:keepNext w:val="0"/>
      </w:pPr>
      <w:r w:rsidRPr="001A437B">
        <w:t>Vendosi:</w:t>
      </w:r>
    </w:p>
    <w:p w:rsidR="002A7EFA" w:rsidRPr="001A437B" w:rsidRDefault="002A7EFA" w:rsidP="002A7EFA">
      <w:pPr>
        <w:pStyle w:val="Paragrafi0"/>
        <w:rPr>
          <w:szCs w:val="22"/>
        </w:rPr>
      </w:pPr>
    </w:p>
    <w:p w:rsidR="002A7EFA" w:rsidRPr="001A437B" w:rsidRDefault="002A7EFA" w:rsidP="002A7EFA">
      <w:pPr>
        <w:pStyle w:val="Paragrafi0"/>
        <w:rPr>
          <w:szCs w:val="22"/>
        </w:rPr>
      </w:pPr>
      <w:r w:rsidRPr="001A437B">
        <w:rPr>
          <w:szCs w:val="22"/>
        </w:rPr>
        <w:t>1. Kalimin në përgjegjësi administrimi, nga Ministria e Mbrojtjes Ministrisë së Punëve Publike dhe Transportit, për Drejtorinë e Përgjithshme të Rrugëve, të sipërfaqes prej 4 762.8 (katër mijë e shtatëqind e gjashtëdhjetë e dy pikë tetë) m</w:t>
      </w:r>
      <w:r w:rsidRPr="001A437B">
        <w:rPr>
          <w:szCs w:val="22"/>
          <w:vertAlign w:val="superscript"/>
        </w:rPr>
        <w:t>2</w:t>
      </w:r>
      <w:r w:rsidRPr="001A437B">
        <w:rPr>
          <w:szCs w:val="22"/>
        </w:rPr>
        <w:t xml:space="preserve"> nga trualli funksional i pronës nr.246 “Ish-Bateri ABD”, në Shkëmbin e Kavajës, Shkallnuer, Durrës, sipas genplanit bashkëlidhur, për ta përdorur për nevoja urbanistike (rrugë publike).</w:t>
      </w:r>
    </w:p>
    <w:p w:rsidR="002A7EFA" w:rsidRPr="001A437B" w:rsidRDefault="002A7EFA" w:rsidP="002A7EFA">
      <w:pPr>
        <w:pStyle w:val="Paragrafi0"/>
        <w:rPr>
          <w:szCs w:val="22"/>
        </w:rPr>
      </w:pPr>
      <w:r w:rsidRPr="001A437B">
        <w:rPr>
          <w:szCs w:val="22"/>
        </w:rPr>
        <w:t>2. Në listën e pronave bashkëlidhur vendimit nr.515, datë 18.7.2003 të Këshillit të Ministrave “Për miratimin e listës së inventarit të pronave të paluajtshme shtetërore, të cilat i kalojnë në përgjegjë</w:t>
      </w:r>
      <w:r>
        <w:rPr>
          <w:szCs w:val="22"/>
        </w:rPr>
        <w:t>si administrimi</w:t>
      </w:r>
      <w:r w:rsidRPr="001A437B">
        <w:rPr>
          <w:szCs w:val="22"/>
        </w:rPr>
        <w:t xml:space="preserve"> Ministrisë së Mbrojtjes”, të ndryshuar, të hiqet sipërfaqja 4 762.8 (katërmijë e shtatëqind e gjashtëdhjetë e dy pikë tetë) m</w:t>
      </w:r>
      <w:r w:rsidRPr="001A437B">
        <w:rPr>
          <w:szCs w:val="22"/>
          <w:vertAlign w:val="superscript"/>
        </w:rPr>
        <w:t>2</w:t>
      </w:r>
      <w:r w:rsidRPr="001A437B">
        <w:rPr>
          <w:szCs w:val="22"/>
        </w:rPr>
        <w:t xml:space="preserve"> nga trualli funksional i pronës nr.246, “Ish-Bateri ABD”, në Shkëmbin e Kavajës, Shkallnuer, Durrës.</w:t>
      </w:r>
    </w:p>
    <w:p w:rsidR="002A7EFA" w:rsidRPr="001A437B" w:rsidRDefault="002A7EFA" w:rsidP="002A7EFA">
      <w:pPr>
        <w:pStyle w:val="Paragrafi0"/>
        <w:rPr>
          <w:szCs w:val="22"/>
        </w:rPr>
      </w:pPr>
      <w:r w:rsidRPr="001A437B">
        <w:rPr>
          <w:szCs w:val="22"/>
        </w:rPr>
        <w:t>3. Ministria e Punëve Publike dhe Transportit dhe Drejtoria e Përgjithshme e Rrugëve ndalohen të ndryshojnë destinacionin e sipërfaqes së përcaktuar në këtë vendim, ta tjetërsojnë atë ose t’ua japin në përdorim të tretëve.</w:t>
      </w:r>
    </w:p>
    <w:p w:rsidR="002A7EFA" w:rsidRPr="001A437B" w:rsidRDefault="002A7EFA" w:rsidP="002A7EFA">
      <w:pPr>
        <w:pStyle w:val="Paragrafi0"/>
        <w:rPr>
          <w:szCs w:val="22"/>
        </w:rPr>
      </w:pPr>
      <w:r w:rsidRPr="001A437B">
        <w:rPr>
          <w:szCs w:val="22"/>
        </w:rPr>
        <w:t>4. Ministria e Punëve Publike dhe Transportit e Drejtoria e Përgjithshme e Rrugëve, para fillimit të punimeve, detyrohen të bëjnë rrethimin e pronës dhe spostimin e rrjeteve inxhinierike që preken gjatë punimeve, duke rehabilituar infrastrukturën që preket gjatë punimeve, për funksionimin e rrugës sipas parametrave dhe kushteve teknike.</w:t>
      </w:r>
    </w:p>
    <w:p w:rsidR="002A7EFA" w:rsidRPr="001A437B" w:rsidRDefault="002A7EFA" w:rsidP="002A7EFA">
      <w:pPr>
        <w:pStyle w:val="Paragrafi0"/>
        <w:rPr>
          <w:szCs w:val="22"/>
        </w:rPr>
      </w:pPr>
      <w:r w:rsidRPr="001A437B">
        <w:rPr>
          <w:szCs w:val="22"/>
        </w:rPr>
        <w:t>5. Pas këtyre veprimeve paraprake dhe marrjes në dorëzim të objekteve të rehabilituara, Ministria e Mbrojtjes detyrohet të bëjë dorëzimin sipas legjislacionit në fuqi, për kalimin në administrim të sipërfaqes 4 762.8 (katër mijë e shtatëqind e gjashtëdhjetë e dy pikë tetë) m</w:t>
      </w:r>
      <w:r w:rsidRPr="001A437B">
        <w:rPr>
          <w:szCs w:val="22"/>
          <w:vertAlign w:val="superscript"/>
        </w:rPr>
        <w:t>2</w:t>
      </w:r>
      <w:r w:rsidRPr="001A437B">
        <w:rPr>
          <w:szCs w:val="22"/>
        </w:rPr>
        <w:t>, Ministrisë së Punëve Publike dhe Transportit, për Drejtorinë e Përgjithshme të Rrugëve.</w:t>
      </w:r>
    </w:p>
    <w:p w:rsidR="002A7EFA" w:rsidRPr="001A437B" w:rsidRDefault="002A7EFA" w:rsidP="002A7EFA">
      <w:pPr>
        <w:pStyle w:val="Paragrafi0"/>
        <w:rPr>
          <w:szCs w:val="22"/>
        </w:rPr>
      </w:pPr>
      <w:r w:rsidRPr="001A437B">
        <w:rPr>
          <w:szCs w:val="22"/>
        </w:rPr>
        <w:t>6. Ngarkohen Ministria e Mbrojtjes, Ministria e Punëve Publike dhe Transportit, Zyra Qendrore e Regjistrimit të Pasurive të Paluajtshme dhe Drejtoria e Përgjithshme e Rrugëve për ndjekjen dhe zbatimin e procedurave të nevojshme, për kalimin në përgjegjësi administrimi të kësaj sipërfaqeje, për nevoja urbanistike, zgjerimin e rrugës publike.</w:t>
      </w:r>
    </w:p>
    <w:p w:rsidR="002A7EFA" w:rsidRPr="001A437B" w:rsidRDefault="002A7EFA" w:rsidP="002A7EFA">
      <w:pPr>
        <w:pStyle w:val="Paragrafi0"/>
        <w:rPr>
          <w:szCs w:val="22"/>
        </w:rPr>
      </w:pPr>
      <w:r w:rsidRPr="001A437B">
        <w:rPr>
          <w:szCs w:val="22"/>
        </w:rPr>
        <w:t>Ky vendim hyn në fuqi pas botimit në Fletoren Zyrtare.</w:t>
      </w:r>
    </w:p>
    <w:p w:rsidR="002A7EFA" w:rsidRPr="001A437B" w:rsidRDefault="002A7EFA" w:rsidP="002A7EFA">
      <w:pPr>
        <w:pStyle w:val="Paragrafi0"/>
        <w:rPr>
          <w:szCs w:val="22"/>
        </w:rPr>
      </w:pPr>
    </w:p>
    <w:p w:rsidR="002A7EFA" w:rsidRPr="001A437B" w:rsidRDefault="002A7EFA" w:rsidP="002A7EFA">
      <w:pPr>
        <w:pStyle w:val="Autoriteti"/>
        <w:keepNext w:val="0"/>
      </w:pPr>
      <w:r w:rsidRPr="001A437B">
        <w:t>Kryeministri</w:t>
      </w:r>
    </w:p>
    <w:p w:rsidR="002A7EFA" w:rsidRPr="001A437B" w:rsidRDefault="002A7EFA" w:rsidP="002A7EFA">
      <w:pPr>
        <w:pStyle w:val="AutoritetiEmer"/>
      </w:pPr>
      <w:r w:rsidRPr="001A437B">
        <w:t>Sali Berisha </w:t>
      </w:r>
    </w:p>
    <w:p w:rsidR="002A7EFA" w:rsidRPr="001A437B" w:rsidRDefault="002A7EFA" w:rsidP="002A7EFA">
      <w:pPr>
        <w:pStyle w:val="Paragrafi0"/>
        <w:rPr>
          <w:szCs w:val="22"/>
        </w:rPr>
      </w:pPr>
    </w:p>
    <w:p w:rsidR="002A7EFA" w:rsidRPr="001A437B" w:rsidRDefault="00D307E6" w:rsidP="002A7EFA">
      <w:pPr>
        <w:pStyle w:val="Figure"/>
      </w:pPr>
      <w:r w:rsidRPr="001A437B">
        <w:rPr>
          <w:noProof/>
        </w:rPr>
        <w:lastRenderedPageBreak/>
        <w:drawing>
          <wp:inline distT="0" distB="0" distL="0" distR="0">
            <wp:extent cx="4991100" cy="7886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EFA" w:rsidRPr="001A437B" w:rsidRDefault="002A7EFA" w:rsidP="002A7EFA">
      <w:pPr>
        <w:pStyle w:val="Paragrafi0"/>
        <w:rPr>
          <w:szCs w:val="22"/>
        </w:rPr>
      </w:pPr>
    </w:p>
    <w:p w:rsidR="002A7EFA" w:rsidRPr="001A437B" w:rsidRDefault="002A7EFA" w:rsidP="002A7EFA">
      <w:pPr>
        <w:pStyle w:val="Paragrafi0"/>
        <w:rPr>
          <w:szCs w:val="22"/>
        </w:rPr>
      </w:pPr>
    </w:p>
    <w:p w:rsidR="002A7EFA" w:rsidRPr="001A437B" w:rsidRDefault="00D307E6" w:rsidP="002A7EFA">
      <w:pPr>
        <w:pStyle w:val="Figure"/>
        <w:rPr>
          <w:szCs w:val="22"/>
        </w:rPr>
      </w:pPr>
      <w:r>
        <w:rPr>
          <w:noProof/>
        </w:rPr>
        <w:lastRenderedPageBreak/>
        <w:drawing>
          <wp:inline distT="0" distB="0" distL="0" distR="0">
            <wp:extent cx="5762625" cy="61817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18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EFA" w:rsidRPr="001A437B" w:rsidRDefault="002A7EFA" w:rsidP="002A7EFA">
      <w:pPr>
        <w:pStyle w:val="Paragrafi0"/>
        <w:ind w:firstLine="0"/>
        <w:jc w:val="center"/>
        <w:rPr>
          <w:szCs w:val="22"/>
        </w:rPr>
      </w:pPr>
    </w:p>
    <w:p w:rsidR="002A7EFA" w:rsidRPr="001A437B" w:rsidRDefault="002A7EFA" w:rsidP="002A7EFA">
      <w:pPr>
        <w:pStyle w:val="Paragrafi0"/>
        <w:ind w:firstLine="0"/>
        <w:jc w:val="center"/>
        <w:rPr>
          <w:szCs w:val="22"/>
        </w:rPr>
      </w:pPr>
    </w:p>
    <w:p w:rsidR="002A7EFA" w:rsidRPr="001A437B" w:rsidRDefault="002A7EFA" w:rsidP="002A7EFA">
      <w:pPr>
        <w:pStyle w:val="Paragrafi0"/>
        <w:ind w:firstLine="0"/>
        <w:jc w:val="center"/>
        <w:rPr>
          <w:szCs w:val="22"/>
        </w:rPr>
      </w:pPr>
    </w:p>
    <w:p w:rsidR="002A7EFA" w:rsidRPr="001A437B" w:rsidRDefault="002A7EFA" w:rsidP="002A7EFA">
      <w:pPr>
        <w:pStyle w:val="Paragrafi0"/>
        <w:ind w:firstLine="0"/>
        <w:jc w:val="center"/>
        <w:rPr>
          <w:szCs w:val="22"/>
        </w:rPr>
      </w:pPr>
    </w:p>
    <w:p w:rsidR="002A7EFA" w:rsidRPr="001A437B" w:rsidRDefault="002A7EFA" w:rsidP="002A7EFA">
      <w:pPr>
        <w:pStyle w:val="Paragrafi0"/>
        <w:ind w:firstLine="0"/>
        <w:jc w:val="center"/>
        <w:rPr>
          <w:szCs w:val="22"/>
        </w:rPr>
      </w:pPr>
    </w:p>
    <w:p w:rsidR="002A7EFA" w:rsidRPr="001A437B" w:rsidRDefault="002A7EFA" w:rsidP="002A7EFA">
      <w:pPr>
        <w:pStyle w:val="Paragrafi0"/>
        <w:ind w:firstLine="0"/>
        <w:jc w:val="center"/>
        <w:rPr>
          <w:szCs w:val="22"/>
        </w:rPr>
      </w:pPr>
    </w:p>
    <w:p w:rsidR="002A7EFA" w:rsidRPr="001A437B" w:rsidRDefault="002A7EFA" w:rsidP="002A7EFA">
      <w:pPr>
        <w:pStyle w:val="Paragrafi0"/>
        <w:ind w:firstLine="0"/>
        <w:jc w:val="center"/>
        <w:rPr>
          <w:szCs w:val="22"/>
        </w:rPr>
      </w:pPr>
    </w:p>
    <w:p w:rsidR="002A7EFA" w:rsidRPr="001A437B" w:rsidRDefault="002A7EFA" w:rsidP="002A7EFA">
      <w:pPr>
        <w:pStyle w:val="Paragrafi0"/>
        <w:ind w:firstLine="0"/>
        <w:jc w:val="center"/>
        <w:rPr>
          <w:szCs w:val="22"/>
        </w:rPr>
      </w:pPr>
    </w:p>
    <w:p w:rsidR="002A7EFA" w:rsidRPr="001A437B" w:rsidRDefault="002A7EFA" w:rsidP="002A7EFA">
      <w:pPr>
        <w:pStyle w:val="Paragrafi0"/>
        <w:ind w:firstLine="0"/>
        <w:jc w:val="center"/>
        <w:rPr>
          <w:szCs w:val="22"/>
        </w:rPr>
      </w:pPr>
    </w:p>
    <w:p w:rsidR="002A7EFA" w:rsidRPr="001A437B" w:rsidRDefault="002A7EFA" w:rsidP="002A7EFA">
      <w:pPr>
        <w:pStyle w:val="Paragrafi0"/>
        <w:ind w:firstLine="0"/>
        <w:jc w:val="center"/>
        <w:rPr>
          <w:szCs w:val="22"/>
        </w:rPr>
      </w:pPr>
    </w:p>
    <w:p w:rsidR="002A7EFA" w:rsidRPr="001A437B" w:rsidRDefault="00D307E6" w:rsidP="002A7EFA">
      <w:pPr>
        <w:pStyle w:val="Figure"/>
      </w:pPr>
      <w:r w:rsidRPr="001A437B">
        <w:rPr>
          <w:noProof/>
        </w:rPr>
        <w:lastRenderedPageBreak/>
        <w:drawing>
          <wp:inline distT="0" distB="0" distL="0" distR="0">
            <wp:extent cx="5227320" cy="7863205"/>
            <wp:effectExtent l="0" t="0" r="0" b="4445"/>
            <wp:docPr id="1" name="Picture 2" descr="M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7863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A7EFA" w:rsidRPr="001A43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A7EF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A7EFA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07E6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1F2E90-3A17-4AFE-9410-23D098CB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2A7EFA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2A7EFA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2A7E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2A7EF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2019-03-22T10:19:00Z</dcterms:created>
  <dcterms:modified xsi:type="dcterms:W3CDTF">2019-03-22T10:19:00Z</dcterms:modified>
</cp:coreProperties>
</file>