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FDC" w:rsidRPr="00C46EB1" w:rsidRDefault="00CD0FDC" w:rsidP="00CD0FDC">
      <w:pPr>
        <w:pStyle w:val="Akti"/>
      </w:pPr>
      <w:bookmarkStart w:id="0" w:name="_GoBack"/>
      <w:bookmarkEnd w:id="0"/>
      <w:r w:rsidRPr="00C46EB1">
        <w:t>VENDIM</w:t>
      </w:r>
    </w:p>
    <w:p w:rsidR="00CD0FDC" w:rsidRPr="00C46EB1" w:rsidRDefault="00CD0FDC" w:rsidP="00CD0FDC">
      <w:pPr>
        <w:pStyle w:val="NumriData"/>
      </w:pPr>
      <w:r w:rsidRPr="00C46EB1">
        <w:t>Nr.520, dat</w:t>
      </w:r>
      <w:r>
        <w:t>ë</w:t>
      </w:r>
      <w:r w:rsidRPr="00C46EB1">
        <w:t xml:space="preserve"> 9.6.2010</w:t>
      </w:r>
    </w:p>
    <w:p w:rsidR="00CD0FDC" w:rsidRPr="00C46EB1" w:rsidRDefault="00CD0FDC" w:rsidP="00CD0FDC">
      <w:pPr>
        <w:pStyle w:val="Paragrafi0"/>
      </w:pPr>
    </w:p>
    <w:p w:rsidR="00CD0FDC" w:rsidRPr="00C46EB1" w:rsidRDefault="00CD0FDC" w:rsidP="00CD0FDC">
      <w:pPr>
        <w:pStyle w:val="Titulli0"/>
      </w:pPr>
      <w:r w:rsidRPr="00C46EB1">
        <w:t>P</w:t>
      </w:r>
      <w:r>
        <w:t>Ë</w:t>
      </w:r>
      <w:r w:rsidRPr="00C46EB1">
        <w:t>R DISA NDRYSHIME N</w:t>
      </w:r>
      <w:r>
        <w:t>Ë</w:t>
      </w:r>
      <w:r w:rsidRPr="00C46EB1">
        <w:t xml:space="preserve"> VENDIMIN NR.857, DAT</w:t>
      </w:r>
      <w:r>
        <w:t>Ë</w:t>
      </w:r>
      <w:r w:rsidRPr="00C46EB1">
        <w:t xml:space="preserve"> 20.12.2006 T</w:t>
      </w:r>
      <w:r>
        <w:t>Ë</w:t>
      </w:r>
      <w:r w:rsidRPr="00C46EB1">
        <w:t xml:space="preserve"> K</w:t>
      </w:r>
      <w:r>
        <w:t>Ë</w:t>
      </w:r>
      <w:r w:rsidRPr="00C46EB1">
        <w:t>SHILLIT T</w:t>
      </w:r>
      <w:r>
        <w:t>Ë</w:t>
      </w:r>
      <w:r w:rsidRPr="00C46EB1">
        <w:t xml:space="preserve"> MINISTRAVE “P</w:t>
      </w:r>
      <w:r>
        <w:t>Ë</w:t>
      </w:r>
      <w:r w:rsidRPr="00C46EB1">
        <w:t>R FINANCIMIN E SH</w:t>
      </w:r>
      <w:r>
        <w:t>Ë</w:t>
      </w:r>
      <w:r w:rsidRPr="00C46EB1">
        <w:t>RBIMEVE T</w:t>
      </w:r>
      <w:r>
        <w:t>Ë</w:t>
      </w:r>
      <w:r w:rsidRPr="00C46EB1">
        <w:t xml:space="preserve"> KUJDESIT SH</w:t>
      </w:r>
      <w:r>
        <w:t>Ë</w:t>
      </w:r>
      <w:r w:rsidRPr="00C46EB1">
        <w:t>NDET</w:t>
      </w:r>
      <w:r>
        <w:t>Ë</w:t>
      </w:r>
      <w:r w:rsidRPr="00C46EB1">
        <w:t>SOR PAR</w:t>
      </w:r>
      <w:r>
        <w:t>Ë</w:t>
      </w:r>
      <w:r w:rsidRPr="00C46EB1">
        <w:t>SOR NGA SKEMA E DETYRUESHME E SIGURIMEVE T</w:t>
      </w:r>
      <w:r>
        <w:t>Ë</w:t>
      </w:r>
      <w:r w:rsidRPr="00C46EB1">
        <w:t xml:space="preserve"> KUJDESIT SH</w:t>
      </w:r>
      <w:r>
        <w:t>Ë</w:t>
      </w:r>
      <w:r w:rsidRPr="00C46EB1">
        <w:t>NDET</w:t>
      </w:r>
      <w:r>
        <w:t>Ë</w:t>
      </w:r>
      <w:r w:rsidRPr="00C46EB1">
        <w:t>SOR”, T</w:t>
      </w:r>
      <w:r>
        <w:t>Ë</w:t>
      </w:r>
      <w:r w:rsidRPr="00C46EB1">
        <w:t xml:space="preserve"> NDRYSHUAR</w:t>
      </w:r>
    </w:p>
    <w:p w:rsidR="00CD0FDC" w:rsidRPr="00C46EB1" w:rsidRDefault="00CD0FDC" w:rsidP="00CD0FDC">
      <w:pPr>
        <w:pStyle w:val="Paragrafi0"/>
      </w:pPr>
    </w:p>
    <w:p w:rsidR="00CD0FDC" w:rsidRDefault="00CD0FDC" w:rsidP="00CD0FDC">
      <w:pPr>
        <w:pStyle w:val="Paragrafi0"/>
      </w:pPr>
      <w:r w:rsidRPr="00C46EB1">
        <w:t>N</w:t>
      </w:r>
      <w:r>
        <w:t>ë</w:t>
      </w:r>
      <w:r w:rsidRPr="00C46EB1">
        <w:t xml:space="preserve"> mb</w:t>
      </w:r>
      <w:r>
        <w:t>ë</w:t>
      </w:r>
      <w:r w:rsidRPr="00C46EB1">
        <w:t>shtetje t</w:t>
      </w:r>
      <w:r>
        <w:t>ë</w:t>
      </w:r>
      <w:r w:rsidRPr="00C46EB1">
        <w:t xml:space="preserve"> nenit 100 t</w:t>
      </w:r>
      <w:r>
        <w:t>ë</w:t>
      </w:r>
      <w:r w:rsidRPr="00C46EB1">
        <w:t xml:space="preserve"> Kushtetut</w:t>
      </w:r>
      <w:r>
        <w:t>ë</w:t>
      </w:r>
      <w:r w:rsidRPr="00C46EB1">
        <w:t>s, t</w:t>
      </w:r>
      <w:r>
        <w:t>ë</w:t>
      </w:r>
      <w:r w:rsidRPr="00C46EB1">
        <w:t xml:space="preserve"> nenit 124 t</w:t>
      </w:r>
      <w:r>
        <w:t>ë</w:t>
      </w:r>
      <w:r w:rsidRPr="00C46EB1">
        <w:t xml:space="preserve"> ligjit nr.8485, dat</w:t>
      </w:r>
      <w:r>
        <w:t>ë 12.5</w:t>
      </w:r>
      <w:r w:rsidRPr="00C46EB1">
        <w:t xml:space="preserve">.1999 “Kodi i </w:t>
      </w:r>
      <w:r>
        <w:t>Procedurave Administrative të Republikës së Shqipërisë”, të neneve 4, pika 2, shkronja “b”, e 36 të ligjit nr.7870, datë 13.10.1994 “Për sigurimet shëndetësore në Republikën e Shqipërisë”, me propozimin e Ministrit të Shëndetësisë, Këshilli i Ministrave</w:t>
      </w:r>
    </w:p>
    <w:p w:rsidR="00CD0FDC" w:rsidRDefault="00CD0FDC" w:rsidP="00CD0FDC">
      <w:pPr>
        <w:pStyle w:val="Paragrafi0"/>
      </w:pPr>
    </w:p>
    <w:p w:rsidR="00CD0FDC" w:rsidRDefault="00CD0FDC" w:rsidP="00CD0FDC">
      <w:pPr>
        <w:pStyle w:val="VENDOSI0"/>
      </w:pPr>
      <w:r>
        <w:t>VENDOSI:</w:t>
      </w:r>
    </w:p>
    <w:p w:rsidR="00CD0FDC" w:rsidRDefault="00CD0FDC" w:rsidP="00CD0FDC">
      <w:pPr>
        <w:pStyle w:val="Paragrafi0"/>
      </w:pPr>
    </w:p>
    <w:p w:rsidR="00CD0FDC" w:rsidRDefault="00CD0FDC" w:rsidP="00CD0FDC">
      <w:pPr>
        <w:pStyle w:val="Paragrafi0"/>
      </w:pPr>
      <w:r>
        <w:t>Në vendimin nr.857, datë 20.12.2006 të Këshillit të Ministrave, të ndryshuar, të bëhen këto ndryshime:</w:t>
      </w:r>
    </w:p>
    <w:p w:rsidR="00CD0FDC" w:rsidRDefault="00CD0FDC" w:rsidP="00CD0FDC">
      <w:pPr>
        <w:pStyle w:val="Paragrafi0"/>
      </w:pPr>
      <w:r>
        <w:t>1. Pika 4 ndryshohet, si më poshtë vijon:</w:t>
      </w:r>
    </w:p>
    <w:p w:rsidR="00CD0FDC" w:rsidRPr="00A36D9B" w:rsidRDefault="00CD0FDC" w:rsidP="00CD0FDC">
      <w:pPr>
        <w:pStyle w:val="Paragrafi0"/>
        <w:rPr>
          <w:lang w:val="it-IT"/>
        </w:rPr>
      </w:pPr>
      <w:r w:rsidRPr="00A36D9B">
        <w:rPr>
          <w:lang w:val="it-IT"/>
        </w:rPr>
        <w:t>“4.Ministri i Shëndetësisë miraton statutin tip të qendrës shëndetësore.”.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2. Pika 11 ndryshohet, si më poshtë vijon: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“11. Ngarkohet Ministria e Shëndetësisë që, në bashkëpunim me organet e pushtetit vendor, të ngrejë bordin e qendrave shëndetësore në nivel DSHP/ASHR, 30 ditë pas hyrjes në fuqi të këtij projektvendimi.”.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3. Në shtojcën 2, që i bashkëlidhet këtij vendimi, bëhen këto ndryshime: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a) Neni 23 ndryshohet, si më poshtë, si më poshtë vijon:</w:t>
      </w:r>
    </w:p>
    <w:p w:rsidR="00CD0FDC" w:rsidRPr="00CD0FDC" w:rsidRDefault="00CD0FDC" w:rsidP="00CD0FDC">
      <w:pPr>
        <w:pStyle w:val="Paragrafi0"/>
        <w:rPr>
          <w:lang w:val="it-IT"/>
        </w:rPr>
      </w:pPr>
    </w:p>
    <w:p w:rsidR="00CD0FDC" w:rsidRPr="00CD0FDC" w:rsidRDefault="00CD0FDC" w:rsidP="00CD0FDC">
      <w:pPr>
        <w:pStyle w:val="NeniNr"/>
        <w:rPr>
          <w:lang w:val="it-IT"/>
        </w:rPr>
      </w:pPr>
      <w:r w:rsidRPr="00CD0FDC">
        <w:rPr>
          <w:lang w:val="it-IT"/>
        </w:rPr>
        <w:t>“Neni 23</w:t>
      </w:r>
    </w:p>
    <w:p w:rsidR="00CD0FDC" w:rsidRPr="00CD0FDC" w:rsidRDefault="00CD0FDC" w:rsidP="00CD0FDC">
      <w:pPr>
        <w:pStyle w:val="Paragrafi0"/>
        <w:rPr>
          <w:lang w:val="it-IT"/>
        </w:rPr>
      </w:pP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Në nivel DSHP/ASHR, për Tiranën, ngrihet dhe funksionon Bordi i Qendrave Shëndetësore. Ky bord ka në përbërje të tij drejtorin e DSHP/ASHR, përfaqësuesin e Drejtorisë Rajonale të Sigurimeve të Kujdesit Shëndetësor dhe përfaqësuesin e qarkut, në territorin e të cilit ushtron veprimtarinë DSHP.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Kryetari i Bordit të Qendrave Shëndetësore, në çdo DSHP/ASHR, është drejtori i DSHP/ASHR.</w:t>
      </w:r>
    </w:p>
    <w:p w:rsidR="00CD0FDC" w:rsidRPr="00A36D9B" w:rsidRDefault="00CD0FDC" w:rsidP="00CD0FDC">
      <w:pPr>
        <w:pStyle w:val="Paragrafi0"/>
        <w:rPr>
          <w:lang w:val="it-IT"/>
        </w:rPr>
      </w:pPr>
      <w:r w:rsidRPr="00A36D9B">
        <w:rPr>
          <w:lang w:val="it-IT"/>
        </w:rPr>
        <w:t>Bordi mblidhet jo më pak se 4 herë në vit. Bordi mund të mblidhet edhe jashtë radhe për raste të veçanta. Detyrat e bordit të qendrave shëndetësore dhe mënyrat e thirrjes së tij, përcaktohen në rregulloren e funksionimit të bordit të qendrave shëndetësore, e cila miratohet nga Ministri i Shëndetësisë.”.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b) Neni 24, shfuqizohet.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c) Neni 25 ndryshohet, si më poshtë vijon:</w:t>
      </w:r>
    </w:p>
    <w:p w:rsidR="00CD0FDC" w:rsidRPr="00CD0FDC" w:rsidRDefault="00CD0FDC" w:rsidP="00CD0FDC">
      <w:pPr>
        <w:pStyle w:val="Paragrafi0"/>
        <w:rPr>
          <w:lang w:val="it-IT"/>
        </w:rPr>
      </w:pPr>
    </w:p>
    <w:p w:rsidR="00CD0FDC" w:rsidRPr="00CD0FDC" w:rsidRDefault="00CD0FDC" w:rsidP="00CD0FDC">
      <w:pPr>
        <w:pStyle w:val="NeniNr"/>
        <w:rPr>
          <w:lang w:val="it-IT"/>
        </w:rPr>
      </w:pPr>
      <w:r w:rsidRPr="00CD0FDC">
        <w:rPr>
          <w:lang w:val="it-IT"/>
        </w:rPr>
        <w:t>“Neni 25</w:t>
      </w:r>
    </w:p>
    <w:p w:rsidR="00CD0FDC" w:rsidRPr="00CD0FDC" w:rsidRDefault="00CD0FDC" w:rsidP="00CD0FDC">
      <w:pPr>
        <w:pStyle w:val="Paragrafi0"/>
        <w:rPr>
          <w:lang w:val="it-IT"/>
        </w:rPr>
      </w:pP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Drejtori i qendrës shëndetësore emërohet dhe lirohet nga Bordi i Qendrave Shëndetësore në nivel Drejtorie të Shëndetit Publik (DSHP)/Autoriteti Shëndetësor Rajonal për Tiranën (ASHR).</w:t>
      </w:r>
    </w:p>
    <w:p w:rsidR="00CD0FDC" w:rsidRPr="00CD0FDC" w:rsidRDefault="00CD0FDC" w:rsidP="00CD0FDC">
      <w:pPr>
        <w:pStyle w:val="Paragrafi0"/>
        <w:rPr>
          <w:lang w:val="it-IT"/>
        </w:rPr>
      </w:pPr>
      <w:r w:rsidRPr="00CD0FDC">
        <w:rPr>
          <w:lang w:val="it-IT"/>
        </w:rPr>
        <w:t>Detyrat e drejtorit të qendrës shëndetësore përcaktohen në statutin e qendrës shëndetësore, i cili miratohet nga Ministri i Shëndetësisë.</w:t>
      </w:r>
    </w:p>
    <w:p w:rsidR="00CD0FDC" w:rsidRDefault="00CD0FDC" w:rsidP="00CD0FDC">
      <w:pPr>
        <w:pStyle w:val="Paragrafi0"/>
      </w:pPr>
      <w:r>
        <w:t>ISKSH-ja ka të drejtë që, kur konstaton keqmenaxhim të qendrës shëndetësore, bazuar në prova të shkruara, t’i kërkojë Bordit të Qendrave Shëndetësore shkarkimin e drejtorit.”.</w:t>
      </w:r>
    </w:p>
    <w:p w:rsidR="00CD0FDC" w:rsidRDefault="00CD0FDC" w:rsidP="00CD0FDC">
      <w:pPr>
        <w:pStyle w:val="Paragrafi0"/>
      </w:pPr>
      <w:r>
        <w:t>ç) Neni 26 ndryshohet si më poshtë vijon:</w:t>
      </w:r>
    </w:p>
    <w:p w:rsidR="00CD0FDC" w:rsidRDefault="00CD0FDC" w:rsidP="00CD0FDC">
      <w:pPr>
        <w:pStyle w:val="Paragrafi0"/>
      </w:pPr>
    </w:p>
    <w:p w:rsidR="00CD0FDC" w:rsidRDefault="00CD0FDC" w:rsidP="00CD0FDC">
      <w:pPr>
        <w:pStyle w:val="NeniNr"/>
      </w:pPr>
      <w:r>
        <w:t>“Neni 26</w:t>
      </w:r>
    </w:p>
    <w:p w:rsidR="00CD0FDC" w:rsidRDefault="00CD0FDC" w:rsidP="00CD0FDC">
      <w:pPr>
        <w:pStyle w:val="Paragrafi0"/>
      </w:pPr>
    </w:p>
    <w:p w:rsidR="00CD0FDC" w:rsidRDefault="00CD0FDC" w:rsidP="00CD0FDC">
      <w:pPr>
        <w:pStyle w:val="Paragrafi0"/>
      </w:pPr>
      <w:r>
        <w:t>Personeli i qendrës shëndetësore përbëhet nga stafi mjekësor dhe ai ndihmës. Personeli mjekësor emërohet dhe lirohet nga detyra nga Bordi i Qendrave Shëndetësore në nivel Drejtorie të Shëndetit Publik (DSHP/ASHR), sipas procedurave të rekrutimit, të përcaktuara nga Ministri i Shëndetësisë. Drejtori i qendrës shëndetësore përgatit dosjen e dokumenteve të kandidatëve që konkurrojnë për punësim dhe ia paraqet bordit.</w:t>
      </w:r>
    </w:p>
    <w:p w:rsidR="00CD0FDC" w:rsidRDefault="00CD0FDC" w:rsidP="00CD0FDC">
      <w:pPr>
        <w:pStyle w:val="Paragrafi0"/>
      </w:pPr>
      <w:r>
        <w:t>Bordi i Qendrave Shëndetësore zhvillon procedurën e konkurrimit dhe, pas shpalljes së fituesit, autorizon drejtorin e qendrës shëndetësore të lidhë kontratë me fituesin, sipas Kodit të Punës.</w:t>
      </w:r>
    </w:p>
    <w:p w:rsidR="00CD0FDC" w:rsidRDefault="00CD0FDC" w:rsidP="00CD0FDC">
      <w:pPr>
        <w:pStyle w:val="Paragrafi0"/>
      </w:pPr>
      <w:r>
        <w:t>Personeli ndihmës i qendrës shëndetësore emërohet nga drejtori i qendrës shëndetësore, sipas procedurave të përcaktuara në Kodin e Punës dhe normave të vendosura nga Ministria e Shëndetësisë. Ankimi kundër vendimit të drejtorit të qendrës shëndetësore bëhet brenda 10 ditëve në Bordin e Qendrave Shëndetësore.</w:t>
      </w:r>
    </w:p>
    <w:p w:rsidR="00CD0FDC" w:rsidRDefault="00CD0FDC" w:rsidP="00CD0FDC">
      <w:pPr>
        <w:pStyle w:val="Paragrafi0"/>
      </w:pPr>
      <w:r>
        <w:t>Vendimi i Bordit të Qendrave Shëndetësore është përfundimtar. Ankimi kundër vendimit të Bordit bëhet brenda 30 ditëve, në gjykatën e shkallës së parë.”.</w:t>
      </w:r>
    </w:p>
    <w:p w:rsidR="00CD0FDC" w:rsidRDefault="00CD0FDC" w:rsidP="00CD0FDC">
      <w:pPr>
        <w:pStyle w:val="Paragrafi0"/>
      </w:pPr>
      <w:r>
        <w:t>Ky vendim hyn në fuqi pas botimit në Fletoren Zyrtare.</w:t>
      </w:r>
    </w:p>
    <w:p w:rsidR="00CD0FDC" w:rsidRDefault="00CD0FDC" w:rsidP="00CD0FDC">
      <w:pPr>
        <w:pStyle w:val="Paragrafi0"/>
      </w:pPr>
    </w:p>
    <w:p w:rsidR="00CD0FDC" w:rsidRDefault="00CD0FDC" w:rsidP="00CD0FDC">
      <w:pPr>
        <w:pStyle w:val="Autoriteti"/>
      </w:pPr>
      <w:r>
        <w:t>KRYEMINISTRI</w:t>
      </w:r>
    </w:p>
    <w:p w:rsidR="00CD0FDC" w:rsidRDefault="00CD0FDC" w:rsidP="00CD0FDC">
      <w:pPr>
        <w:pStyle w:val="AutoritetiEmer"/>
      </w:pPr>
      <w:r>
        <w:t>Sali Berisha</w:t>
      </w:r>
    </w:p>
    <w:sectPr w:rsidR="00CD0F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0FDC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81E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C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ABCC72F-EF67-4315-B48F-85BA762A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CD0FDC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CD0FDC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