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7C4" w:rsidRPr="005D1557" w:rsidRDefault="00CB77C4" w:rsidP="00CB77C4">
      <w:pPr>
        <w:pStyle w:val="Akti"/>
        <w:keepNext w:val="0"/>
      </w:pPr>
      <w:bookmarkStart w:id="0" w:name="_GoBack"/>
      <w:bookmarkEnd w:id="0"/>
      <w:r>
        <w:t>VENDI</w:t>
      </w:r>
      <w:r w:rsidRPr="005D1557">
        <w:t>M</w:t>
      </w:r>
    </w:p>
    <w:p w:rsidR="00CB77C4" w:rsidRPr="005D1557" w:rsidRDefault="00CB77C4" w:rsidP="00CB77C4">
      <w:pPr>
        <w:pStyle w:val="NumriData"/>
        <w:keepNext w:val="0"/>
      </w:pPr>
      <w:r w:rsidRPr="005D1557">
        <w:t> </w:t>
      </w:r>
      <w:r>
        <w:t>Nr.455, datë 16.6.2010</w:t>
      </w:r>
    </w:p>
    <w:p w:rsidR="00CB77C4" w:rsidRPr="005D1557" w:rsidRDefault="00CB77C4" w:rsidP="00CB77C4">
      <w:pPr>
        <w:pStyle w:val="Paragrafi0"/>
      </w:pPr>
      <w:r w:rsidRPr="005D1557">
        <w:t> </w:t>
      </w:r>
    </w:p>
    <w:p w:rsidR="00CB77C4" w:rsidRPr="00B21164" w:rsidRDefault="00CB77C4" w:rsidP="00CB77C4">
      <w:pPr>
        <w:pStyle w:val="Titulli0"/>
        <w:keepNext w:val="0"/>
      </w:pPr>
      <w:r w:rsidRPr="00B21164">
        <w:t>PËR</w:t>
      </w:r>
      <w:r>
        <w:t xml:space="preserve"> </w:t>
      </w:r>
      <w:r w:rsidRPr="00B21164">
        <w:t>SHPRONËSIMIN, PËR INTERES PUBLIK, TË PRONARËVE TË PASURIVE TË PALUAJTSHME, PRONË PRIVATE, QË PREKEN NGA SISTEMIMI, ASFALTIMI DHE NDËRTIMI  I TROTUAREVE TË RRUGËS SË SHKODRËS, NË BASHKINË E FUSHË-KRUJËS</w:t>
      </w:r>
    </w:p>
    <w:p w:rsidR="00CB77C4" w:rsidRDefault="00CB77C4" w:rsidP="00CB77C4">
      <w:pPr>
        <w:pStyle w:val="Paragrafi0"/>
      </w:pPr>
    </w:p>
    <w:p w:rsidR="00CB77C4" w:rsidRPr="00B21164" w:rsidRDefault="00CB77C4" w:rsidP="00CB77C4">
      <w:pPr>
        <w:pStyle w:val="BazLigjPropozues"/>
        <w:keepNext w:val="0"/>
      </w:pPr>
      <w:r w:rsidRPr="00B21164">
        <w:t>Në mbështetje të nenit 100 të Kushtetutës d</w:t>
      </w:r>
      <w:r>
        <w:t>he të neneve 5, pika 1, 20 e 21</w:t>
      </w:r>
      <w:r w:rsidRPr="00B21164">
        <w:t xml:space="preserve"> të </w:t>
      </w:r>
      <w:r>
        <w:t>ligjit nr.8561, datë 22.12.1999</w:t>
      </w:r>
      <w:r w:rsidRPr="00B21164">
        <w:t xml:space="preserve"> “Për shpronësimet dhe marrjen në përdorim të përkohshëm të pasurisë, pronë private, për interes publik”, me propozimin e Ministrit të Brendshëm, Këshilli i Ministrave</w:t>
      </w:r>
    </w:p>
    <w:p w:rsidR="00CB77C4" w:rsidRDefault="00CB77C4" w:rsidP="00CB77C4">
      <w:pPr>
        <w:pStyle w:val="Paragrafi0"/>
      </w:pPr>
    </w:p>
    <w:p w:rsidR="00CB77C4" w:rsidRPr="00B21164" w:rsidRDefault="00CB77C4" w:rsidP="00CB77C4">
      <w:pPr>
        <w:pStyle w:val="VENDOSI0"/>
        <w:keepNext w:val="0"/>
      </w:pPr>
      <w:r>
        <w:t>VENDOS</w:t>
      </w:r>
      <w:r w:rsidRPr="00B21164">
        <w:t>I:</w:t>
      </w:r>
    </w:p>
    <w:p w:rsidR="00CB77C4" w:rsidRDefault="00CB77C4" w:rsidP="00CB77C4">
      <w:pPr>
        <w:pStyle w:val="Paragrafi0"/>
      </w:pPr>
    </w:p>
    <w:p w:rsidR="00CB77C4" w:rsidRPr="00B21164" w:rsidRDefault="00CB77C4" w:rsidP="00CB77C4">
      <w:pPr>
        <w:pStyle w:val="Paragrafi0"/>
      </w:pPr>
      <w:r w:rsidRPr="00B21164">
        <w:t>1. Shpronësimin, për interes publik, të pronarëve të pasurive të paluajtshme, pronë private, që preken nga sistemimi, asfaltimi dhe ndërtimi i trotuareve të rrugës së Shkodrës, në bashkinë e Fushë - Krujës.</w:t>
      </w:r>
    </w:p>
    <w:p w:rsidR="00CB77C4" w:rsidRPr="00B21164" w:rsidRDefault="00CB77C4" w:rsidP="00CB77C4">
      <w:pPr>
        <w:pStyle w:val="Paragrafi0"/>
      </w:pPr>
      <w:r w:rsidRPr="00B21164">
        <w:t>2. Shpronësimi bëhet në favor të bashkisë së Fushë - Krujës.</w:t>
      </w:r>
    </w:p>
    <w:p w:rsidR="00CB77C4" w:rsidRPr="00B21164" w:rsidRDefault="00CB77C4" w:rsidP="00CB77C4">
      <w:pPr>
        <w:pStyle w:val="Paragrafi0"/>
      </w:pPr>
      <w:r w:rsidRPr="00B21164">
        <w:t>3. Pronarët e pasurive të paluajtshme, që shpronësohen, të kompensohen sipas masës përkatëse,  për sipërfaqen 129 (njëqind e njëzet e nëntë) m², truall, pronë private, sipas tabelës që i bashkëlidhet këtij vendimi dhe është pjesë përbërëse e tij, në vlerën 528 900 (pesëqind e njëzet e tetë mijë e nëntëqind) lekë.</w:t>
      </w:r>
    </w:p>
    <w:p w:rsidR="00CB77C4" w:rsidRPr="00B21164" w:rsidRDefault="00CB77C4" w:rsidP="00CB77C4">
      <w:pPr>
        <w:pStyle w:val="Paragrafi0"/>
      </w:pPr>
      <w:r w:rsidRPr="00B21164">
        <w:t>4.  Vlera e përgjithshme e shpronësimit të përballohet nga të ardhurat e bashkisë së Fushë - Krujës, planifikuar në buxhetin e saj.</w:t>
      </w:r>
    </w:p>
    <w:p w:rsidR="00CB77C4" w:rsidRPr="00B21164" w:rsidRDefault="00CB77C4" w:rsidP="00CB77C4">
      <w:pPr>
        <w:pStyle w:val="Paragrafi0"/>
      </w:pPr>
      <w:r w:rsidRPr="00B21164">
        <w:t>5. Afati i përfundimit të procedurës së shpronësimit të jetë 3 (tre) muaj nga  data e hyrjes në fuqi të këtij vendimi.       </w:t>
      </w:r>
    </w:p>
    <w:p w:rsidR="00CB77C4" w:rsidRPr="00B21164" w:rsidRDefault="00CB77C4" w:rsidP="00CB77C4">
      <w:pPr>
        <w:pStyle w:val="Paragrafi0"/>
        <w:rPr>
          <w:lang w:val="it-IT"/>
        </w:rPr>
      </w:pPr>
      <w:r w:rsidRPr="00B21164">
        <w:rPr>
          <w:lang w:val="it-IT"/>
        </w:rPr>
        <w:t>6.  Vlera e shpenzimeve procedurale të përballohet nga bashkia e    Fushë -  Krujës.</w:t>
      </w:r>
    </w:p>
    <w:p w:rsidR="00CB77C4" w:rsidRPr="00B21164" w:rsidRDefault="00CB77C4" w:rsidP="00CB77C4">
      <w:pPr>
        <w:pStyle w:val="Paragrafi0"/>
        <w:rPr>
          <w:lang w:val="it-IT"/>
        </w:rPr>
      </w:pPr>
      <w:r w:rsidRPr="00B21164">
        <w:rPr>
          <w:lang w:val="it-IT"/>
        </w:rPr>
        <w:t>7. Afati i përfundimit të punimeve për këtë objekt të jetë në përputhje me afatet e parashikuara nga bashkia e Fushë - Krujës, për realizimin e këtij projekti.</w:t>
      </w:r>
    </w:p>
    <w:p w:rsidR="00CB77C4" w:rsidRPr="00B21164" w:rsidRDefault="00CB77C4" w:rsidP="00CB77C4">
      <w:pPr>
        <w:pStyle w:val="Paragrafi0"/>
        <w:rPr>
          <w:lang w:val="it-IT"/>
        </w:rPr>
      </w:pPr>
      <w:r w:rsidRPr="00B21164">
        <w:rPr>
          <w:lang w:val="it-IT"/>
        </w:rPr>
        <w:t>8. Regjistrimi i ri i pasurisë prej  129 (njëqind e njëzet e nëntë) m², truall,</w:t>
      </w:r>
      <w:r>
        <w:rPr>
          <w:lang w:val="it-IT"/>
        </w:rPr>
        <w:t xml:space="preserve"> </w:t>
      </w:r>
      <w:r w:rsidRPr="00B21164">
        <w:rPr>
          <w:lang w:val="it-IT"/>
        </w:rPr>
        <w:t>shpronësuar në favor të kësaj bashkie, të bëhet brenda 30 (tridhjetë) ditëve nga data e hyrjes në fuqi të këtij vendimi.</w:t>
      </w:r>
    </w:p>
    <w:p w:rsidR="00CB77C4" w:rsidRPr="00B21164" w:rsidRDefault="00CB77C4" w:rsidP="00CB77C4">
      <w:pPr>
        <w:pStyle w:val="Paragrafi0"/>
        <w:rPr>
          <w:lang w:val="it-IT"/>
        </w:rPr>
      </w:pPr>
      <w:r w:rsidRPr="00B21164">
        <w:rPr>
          <w:lang w:val="it-IT"/>
        </w:rPr>
        <w:t>9. Ngarkohen Ministria e Brendshme dhe bashkia e Fushë - Krujës për ndjekjen e zbatimin e këtij vendimi.</w:t>
      </w:r>
    </w:p>
    <w:p w:rsidR="00CB77C4" w:rsidRDefault="00CB77C4" w:rsidP="00CB77C4">
      <w:pPr>
        <w:pStyle w:val="Paragrafi0"/>
        <w:rPr>
          <w:lang w:val="it-IT"/>
        </w:rPr>
      </w:pPr>
      <w:r w:rsidRPr="00B21164">
        <w:rPr>
          <w:lang w:val="it-IT"/>
        </w:rPr>
        <w:t>Ky vendim hyn në fuqi menjëherë dhe  botohet në Fletoren Zyrta</w:t>
      </w:r>
      <w:r>
        <w:rPr>
          <w:lang w:val="it-IT"/>
        </w:rPr>
        <w:t>re</w:t>
      </w:r>
      <w:r w:rsidRPr="00B21164">
        <w:rPr>
          <w:lang w:val="it-IT"/>
        </w:rPr>
        <w:t>.</w:t>
      </w:r>
    </w:p>
    <w:p w:rsidR="00CB77C4" w:rsidRDefault="00CB77C4" w:rsidP="00CB77C4">
      <w:pPr>
        <w:pStyle w:val="Paragrafi0"/>
        <w:rPr>
          <w:lang w:val="it-IT"/>
        </w:rPr>
      </w:pPr>
    </w:p>
    <w:p w:rsidR="00CB77C4" w:rsidRDefault="00CB77C4" w:rsidP="00CB77C4">
      <w:pPr>
        <w:pStyle w:val="Paragrafi0"/>
        <w:rPr>
          <w:lang w:val="it-IT"/>
        </w:rPr>
      </w:pPr>
    </w:p>
    <w:p w:rsidR="00CB77C4" w:rsidRPr="00197D60" w:rsidRDefault="00CB77C4" w:rsidP="00CB77C4">
      <w:pPr>
        <w:pStyle w:val="Autoriteti"/>
        <w:keepNext w:val="0"/>
        <w:rPr>
          <w:lang w:val="it-IT"/>
        </w:rPr>
      </w:pPr>
      <w:r w:rsidRPr="00197D60">
        <w:rPr>
          <w:lang w:val="it-IT"/>
        </w:rPr>
        <w:t xml:space="preserve">Kryeministri </w:t>
      </w:r>
    </w:p>
    <w:p w:rsidR="00CB77C4" w:rsidRPr="00954EBC" w:rsidRDefault="00CB77C4" w:rsidP="00CB77C4">
      <w:pPr>
        <w:pStyle w:val="AutoritetiEmer"/>
        <w:rPr>
          <w:lang w:val="it-IT"/>
        </w:rPr>
      </w:pPr>
      <w:r w:rsidRPr="00954EBC">
        <w:rPr>
          <w:lang w:val="it-IT"/>
        </w:rPr>
        <w:t>Sali Berisha</w:t>
      </w:r>
    </w:p>
    <w:p w:rsidR="00CB77C4" w:rsidRPr="00B21164" w:rsidRDefault="00CB77C4" w:rsidP="00CB77C4">
      <w:pPr>
        <w:pStyle w:val="Paragrafi0"/>
        <w:rPr>
          <w:lang w:val="it-IT"/>
        </w:rPr>
      </w:pPr>
    </w:p>
    <w:p w:rsidR="00CB77C4" w:rsidRPr="00B21164" w:rsidRDefault="00CB77C4" w:rsidP="00CB77C4">
      <w:pPr>
        <w:pStyle w:val="Paragrafi0"/>
        <w:rPr>
          <w:lang w:val="it-IT"/>
        </w:rPr>
      </w:pPr>
      <w:r>
        <w:rPr>
          <w:rFonts w:ascii="Arial" w:hAnsi="Arial" w:cs="Arial"/>
          <w:color w:val="595959"/>
          <w:sz w:val="18"/>
          <w:szCs w:val="18"/>
          <w:lang w:val="it-IT"/>
        </w:rPr>
        <w:t> </w:t>
      </w:r>
      <w:r w:rsidRPr="00B21164">
        <w:rPr>
          <w:lang w:val="it-IT"/>
        </w:rPr>
        <w:t> Të dhënat mbi listën emërore të pronarëve dhe pronave që do të shpronësohen pë</w:t>
      </w:r>
      <w:r>
        <w:rPr>
          <w:lang w:val="it-IT"/>
        </w:rPr>
        <w:t>r “sistemim</w:t>
      </w:r>
      <w:r w:rsidRPr="00B21164">
        <w:rPr>
          <w:lang w:val="it-IT"/>
        </w:rPr>
        <w:t xml:space="preserve">-Asfaltimin dhe ndërtimin e trotuareve të </w:t>
      </w:r>
      <w:r>
        <w:rPr>
          <w:lang w:val="it-IT"/>
        </w:rPr>
        <w:t>r</w:t>
      </w:r>
      <w:r w:rsidRPr="00B21164">
        <w:rPr>
          <w:lang w:val="it-IT"/>
        </w:rPr>
        <w:t xml:space="preserve">rugës së shkodrës”, në Bashkinë </w:t>
      </w:r>
      <w:r>
        <w:rPr>
          <w:lang w:val="it-IT"/>
        </w:rPr>
        <w:t>e</w:t>
      </w:r>
      <w:r w:rsidRPr="00B21164">
        <w:rPr>
          <w:lang w:val="it-IT"/>
        </w:rPr>
        <w:t xml:space="preserve"> Fushë</w:t>
      </w:r>
      <w:r>
        <w:rPr>
          <w:lang w:val="it-IT"/>
        </w:rPr>
        <w:t>-</w:t>
      </w:r>
      <w:r w:rsidRPr="00B21164">
        <w:rPr>
          <w:lang w:val="it-IT"/>
        </w:rPr>
        <w:t>Krujës</w:t>
      </w:r>
    </w:p>
    <w:p w:rsidR="00CB77C4" w:rsidRDefault="00CB77C4" w:rsidP="00CB77C4">
      <w:pPr>
        <w:pStyle w:val="Paragrafi0"/>
        <w:rPr>
          <w:lang w:val="it-IT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828"/>
        <w:gridCol w:w="1644"/>
        <w:gridCol w:w="876"/>
        <w:gridCol w:w="914"/>
        <w:gridCol w:w="1048"/>
        <w:gridCol w:w="1517"/>
        <w:gridCol w:w="2014"/>
      </w:tblGrid>
      <w:tr w:rsidR="00CB77C4" w:rsidTr="00CB77C4">
        <w:trPr>
          <w:jc w:val="center"/>
        </w:trPr>
        <w:tc>
          <w:tcPr>
            <w:tcW w:w="828" w:type="dxa"/>
          </w:tcPr>
          <w:p w:rsidR="00CB77C4" w:rsidRPr="00CB77C4" w:rsidRDefault="00CB77C4" w:rsidP="00CB77C4">
            <w:pPr>
              <w:pStyle w:val="Tabele"/>
              <w:jc w:val="center"/>
              <w:rPr>
                <w:b/>
              </w:rPr>
            </w:pPr>
            <w:r w:rsidRPr="00CB77C4">
              <w:rPr>
                <w:b/>
              </w:rPr>
              <w:t>Nr.</w:t>
            </w:r>
          </w:p>
        </w:tc>
        <w:tc>
          <w:tcPr>
            <w:tcW w:w="1644" w:type="dxa"/>
          </w:tcPr>
          <w:p w:rsidR="00CB77C4" w:rsidRPr="00CB77C4" w:rsidRDefault="00CB77C4" w:rsidP="00CB77C4">
            <w:pPr>
              <w:pStyle w:val="Tabele"/>
              <w:jc w:val="center"/>
              <w:rPr>
                <w:b/>
              </w:rPr>
            </w:pPr>
            <w:r w:rsidRPr="00CB77C4">
              <w:rPr>
                <w:b/>
              </w:rPr>
              <w:t>Emër Mbiemër</w:t>
            </w:r>
          </w:p>
        </w:tc>
        <w:tc>
          <w:tcPr>
            <w:tcW w:w="876" w:type="dxa"/>
          </w:tcPr>
          <w:p w:rsidR="00CB77C4" w:rsidRPr="00CB77C4" w:rsidRDefault="00CB77C4" w:rsidP="00CB77C4">
            <w:pPr>
              <w:pStyle w:val="Tabele"/>
              <w:jc w:val="center"/>
              <w:rPr>
                <w:b/>
              </w:rPr>
            </w:pPr>
            <w:r w:rsidRPr="00CB77C4">
              <w:rPr>
                <w:b/>
              </w:rPr>
              <w:t>Sip. m</w:t>
            </w:r>
            <w:r w:rsidRPr="00CB77C4">
              <w:rPr>
                <w:b/>
                <w:vertAlign w:val="superscript"/>
              </w:rPr>
              <w:t xml:space="preserve">2 </w:t>
            </w:r>
            <w:r w:rsidRPr="00CB77C4">
              <w:rPr>
                <w:b/>
              </w:rPr>
              <w:t>truall</w:t>
            </w:r>
          </w:p>
        </w:tc>
        <w:tc>
          <w:tcPr>
            <w:tcW w:w="914" w:type="dxa"/>
          </w:tcPr>
          <w:p w:rsidR="00CB77C4" w:rsidRPr="00CB77C4" w:rsidRDefault="00CB77C4" w:rsidP="00CB77C4">
            <w:pPr>
              <w:pStyle w:val="Tabele"/>
              <w:jc w:val="center"/>
              <w:rPr>
                <w:b/>
              </w:rPr>
            </w:pPr>
            <w:r w:rsidRPr="00CB77C4">
              <w:rPr>
                <w:b/>
              </w:rPr>
              <w:t>Çmimi lekë/m</w:t>
            </w:r>
            <w:r w:rsidRPr="00CB77C4">
              <w:rPr>
                <w:b/>
                <w:vertAlign w:val="superscript"/>
              </w:rPr>
              <w:t>2</w:t>
            </w:r>
          </w:p>
        </w:tc>
        <w:tc>
          <w:tcPr>
            <w:tcW w:w="1048" w:type="dxa"/>
          </w:tcPr>
          <w:p w:rsidR="00CB77C4" w:rsidRPr="00CB77C4" w:rsidRDefault="00CB77C4" w:rsidP="00CB77C4">
            <w:pPr>
              <w:pStyle w:val="Tabele"/>
              <w:jc w:val="center"/>
              <w:rPr>
                <w:b/>
              </w:rPr>
            </w:pPr>
            <w:r w:rsidRPr="00CB77C4">
              <w:rPr>
                <w:b/>
              </w:rPr>
              <w:t>Vlera</w:t>
            </w:r>
          </w:p>
          <w:p w:rsidR="00CB77C4" w:rsidRPr="00CB77C4" w:rsidRDefault="00CB77C4" w:rsidP="00CB77C4">
            <w:pPr>
              <w:pStyle w:val="Tabele"/>
              <w:jc w:val="center"/>
              <w:rPr>
                <w:b/>
              </w:rPr>
            </w:pPr>
            <w:r w:rsidRPr="00CB77C4">
              <w:rPr>
                <w:b/>
              </w:rPr>
              <w:t>lekë</w:t>
            </w:r>
          </w:p>
        </w:tc>
        <w:tc>
          <w:tcPr>
            <w:tcW w:w="1517" w:type="dxa"/>
          </w:tcPr>
          <w:p w:rsidR="00CB77C4" w:rsidRPr="00CB77C4" w:rsidRDefault="00CB77C4" w:rsidP="00CB77C4">
            <w:pPr>
              <w:pStyle w:val="Tabele"/>
              <w:jc w:val="center"/>
              <w:rPr>
                <w:b/>
              </w:rPr>
            </w:pPr>
            <w:r w:rsidRPr="00CB77C4">
              <w:rPr>
                <w:b/>
              </w:rPr>
              <w:t>Dokumeti i pronësisë</w:t>
            </w:r>
          </w:p>
        </w:tc>
        <w:tc>
          <w:tcPr>
            <w:tcW w:w="2014" w:type="dxa"/>
          </w:tcPr>
          <w:p w:rsidR="00CB77C4" w:rsidRPr="00CB77C4" w:rsidRDefault="00CB77C4" w:rsidP="00CB77C4">
            <w:pPr>
              <w:pStyle w:val="Tabele"/>
              <w:jc w:val="center"/>
              <w:rPr>
                <w:b/>
              </w:rPr>
            </w:pPr>
            <w:r w:rsidRPr="00CB77C4">
              <w:rPr>
                <w:b/>
              </w:rPr>
              <w:t>Zona kadastrale</w:t>
            </w:r>
          </w:p>
          <w:p w:rsidR="00CB77C4" w:rsidRPr="00CB77C4" w:rsidRDefault="00CB77C4" w:rsidP="00CB77C4">
            <w:pPr>
              <w:pStyle w:val="Tabele"/>
              <w:jc w:val="center"/>
              <w:rPr>
                <w:b/>
              </w:rPr>
            </w:pPr>
          </w:p>
        </w:tc>
      </w:tr>
      <w:tr w:rsidR="00CB77C4" w:rsidTr="00CB77C4">
        <w:trPr>
          <w:jc w:val="center"/>
        </w:trPr>
        <w:tc>
          <w:tcPr>
            <w:tcW w:w="828" w:type="dxa"/>
          </w:tcPr>
          <w:p w:rsidR="00CB77C4" w:rsidRDefault="00CB77C4" w:rsidP="00CB77C4">
            <w:pPr>
              <w:pStyle w:val="Tabele"/>
            </w:pPr>
            <w:r>
              <w:t>1</w:t>
            </w:r>
          </w:p>
        </w:tc>
        <w:tc>
          <w:tcPr>
            <w:tcW w:w="1644" w:type="dxa"/>
          </w:tcPr>
          <w:p w:rsidR="00CB77C4" w:rsidRDefault="00CB77C4" w:rsidP="00CB77C4">
            <w:pPr>
              <w:pStyle w:val="Tabele"/>
            </w:pPr>
            <w:r>
              <w:t>Artan Haka</w:t>
            </w:r>
          </w:p>
        </w:tc>
        <w:tc>
          <w:tcPr>
            <w:tcW w:w="876" w:type="dxa"/>
          </w:tcPr>
          <w:p w:rsidR="00CB77C4" w:rsidRDefault="00CB77C4" w:rsidP="00CB77C4">
            <w:pPr>
              <w:pStyle w:val="Tabele"/>
            </w:pPr>
            <w:r>
              <w:t>129</w:t>
            </w:r>
          </w:p>
        </w:tc>
        <w:tc>
          <w:tcPr>
            <w:tcW w:w="914" w:type="dxa"/>
          </w:tcPr>
          <w:p w:rsidR="00CB77C4" w:rsidRDefault="00CB77C4" w:rsidP="00CB77C4">
            <w:pPr>
              <w:pStyle w:val="Tabele"/>
            </w:pPr>
            <w:r>
              <w:t>4100</w:t>
            </w:r>
          </w:p>
        </w:tc>
        <w:tc>
          <w:tcPr>
            <w:tcW w:w="1048" w:type="dxa"/>
          </w:tcPr>
          <w:p w:rsidR="00CB77C4" w:rsidRDefault="00CB77C4" w:rsidP="00CB77C4">
            <w:pPr>
              <w:pStyle w:val="Tabele"/>
            </w:pPr>
            <w:r>
              <w:t>528 900</w:t>
            </w:r>
          </w:p>
        </w:tc>
        <w:tc>
          <w:tcPr>
            <w:tcW w:w="1517" w:type="dxa"/>
          </w:tcPr>
          <w:p w:rsidR="00CB77C4" w:rsidRDefault="00CB77C4" w:rsidP="00CB77C4">
            <w:pPr>
              <w:pStyle w:val="Tabele"/>
            </w:pPr>
            <w:r>
              <w:t>Vërt.pronësie</w:t>
            </w:r>
          </w:p>
        </w:tc>
        <w:tc>
          <w:tcPr>
            <w:tcW w:w="2014" w:type="dxa"/>
          </w:tcPr>
          <w:p w:rsidR="00CB77C4" w:rsidRDefault="00CB77C4" w:rsidP="00CB77C4">
            <w:pPr>
              <w:pStyle w:val="Tabele"/>
            </w:pPr>
            <w:r>
              <w:t>1664</w:t>
            </w:r>
          </w:p>
        </w:tc>
      </w:tr>
      <w:tr w:rsidR="00CB77C4" w:rsidTr="00CB77C4">
        <w:trPr>
          <w:jc w:val="center"/>
        </w:trPr>
        <w:tc>
          <w:tcPr>
            <w:tcW w:w="828" w:type="dxa"/>
          </w:tcPr>
          <w:p w:rsidR="00CB77C4" w:rsidRDefault="00CB77C4" w:rsidP="00CB77C4">
            <w:pPr>
              <w:pStyle w:val="Tabele"/>
            </w:pPr>
          </w:p>
        </w:tc>
        <w:tc>
          <w:tcPr>
            <w:tcW w:w="1644" w:type="dxa"/>
          </w:tcPr>
          <w:p w:rsidR="00CB77C4" w:rsidRDefault="00CB77C4" w:rsidP="00CB77C4">
            <w:pPr>
              <w:pStyle w:val="Tabele"/>
            </w:pPr>
          </w:p>
        </w:tc>
        <w:tc>
          <w:tcPr>
            <w:tcW w:w="876" w:type="dxa"/>
          </w:tcPr>
          <w:p w:rsidR="00CB77C4" w:rsidRDefault="00CB77C4" w:rsidP="00CB77C4">
            <w:pPr>
              <w:pStyle w:val="Tabele"/>
            </w:pPr>
          </w:p>
        </w:tc>
        <w:tc>
          <w:tcPr>
            <w:tcW w:w="914" w:type="dxa"/>
          </w:tcPr>
          <w:p w:rsidR="00CB77C4" w:rsidRDefault="00CB77C4" w:rsidP="00CB77C4">
            <w:pPr>
              <w:pStyle w:val="Tabele"/>
            </w:pPr>
          </w:p>
        </w:tc>
        <w:tc>
          <w:tcPr>
            <w:tcW w:w="1048" w:type="dxa"/>
          </w:tcPr>
          <w:p w:rsidR="00CB77C4" w:rsidRDefault="00CB77C4" w:rsidP="00CB77C4">
            <w:pPr>
              <w:pStyle w:val="Tabele"/>
            </w:pPr>
          </w:p>
        </w:tc>
        <w:tc>
          <w:tcPr>
            <w:tcW w:w="1517" w:type="dxa"/>
          </w:tcPr>
          <w:p w:rsidR="00CB77C4" w:rsidRDefault="00CB77C4" w:rsidP="00CB77C4">
            <w:pPr>
              <w:pStyle w:val="Tabele"/>
            </w:pPr>
          </w:p>
        </w:tc>
        <w:tc>
          <w:tcPr>
            <w:tcW w:w="2014" w:type="dxa"/>
          </w:tcPr>
          <w:p w:rsidR="00CB77C4" w:rsidRDefault="00CB77C4" w:rsidP="00CB77C4">
            <w:pPr>
              <w:pStyle w:val="Tabele"/>
            </w:pPr>
          </w:p>
        </w:tc>
      </w:tr>
      <w:tr w:rsidR="00CB77C4" w:rsidTr="00CB77C4">
        <w:trPr>
          <w:jc w:val="center"/>
        </w:trPr>
        <w:tc>
          <w:tcPr>
            <w:tcW w:w="828" w:type="dxa"/>
          </w:tcPr>
          <w:p w:rsidR="00CB77C4" w:rsidRDefault="00CB77C4" w:rsidP="00CB77C4">
            <w:pPr>
              <w:pStyle w:val="Tabele"/>
            </w:pPr>
          </w:p>
        </w:tc>
        <w:tc>
          <w:tcPr>
            <w:tcW w:w="1644" w:type="dxa"/>
          </w:tcPr>
          <w:p w:rsidR="00CB77C4" w:rsidRDefault="00CB77C4" w:rsidP="00CB77C4">
            <w:pPr>
              <w:pStyle w:val="Tabele"/>
            </w:pPr>
            <w:r>
              <w:t>Totali</w:t>
            </w:r>
          </w:p>
        </w:tc>
        <w:tc>
          <w:tcPr>
            <w:tcW w:w="876" w:type="dxa"/>
          </w:tcPr>
          <w:p w:rsidR="00CB77C4" w:rsidRDefault="00CB77C4" w:rsidP="00CB77C4">
            <w:pPr>
              <w:pStyle w:val="Tabele"/>
            </w:pPr>
            <w:r>
              <w:t>129</w:t>
            </w:r>
          </w:p>
        </w:tc>
        <w:tc>
          <w:tcPr>
            <w:tcW w:w="914" w:type="dxa"/>
          </w:tcPr>
          <w:p w:rsidR="00CB77C4" w:rsidRDefault="00CB77C4" w:rsidP="00CB77C4">
            <w:pPr>
              <w:pStyle w:val="Tabele"/>
            </w:pPr>
          </w:p>
        </w:tc>
        <w:tc>
          <w:tcPr>
            <w:tcW w:w="1048" w:type="dxa"/>
          </w:tcPr>
          <w:p w:rsidR="00CB77C4" w:rsidRDefault="00CB77C4" w:rsidP="00CB77C4">
            <w:pPr>
              <w:pStyle w:val="Tabele"/>
            </w:pPr>
            <w:r>
              <w:t>528 900</w:t>
            </w:r>
          </w:p>
        </w:tc>
        <w:tc>
          <w:tcPr>
            <w:tcW w:w="1517" w:type="dxa"/>
          </w:tcPr>
          <w:p w:rsidR="00CB77C4" w:rsidRDefault="00CB77C4" w:rsidP="00CB77C4">
            <w:pPr>
              <w:pStyle w:val="Tabele"/>
            </w:pPr>
          </w:p>
        </w:tc>
        <w:tc>
          <w:tcPr>
            <w:tcW w:w="2014" w:type="dxa"/>
          </w:tcPr>
          <w:p w:rsidR="00CB77C4" w:rsidRDefault="00CB77C4" w:rsidP="00CB77C4">
            <w:pPr>
              <w:pStyle w:val="Tabele"/>
            </w:pPr>
          </w:p>
        </w:tc>
      </w:tr>
    </w:tbl>
    <w:p w:rsidR="00016606" w:rsidRDefault="00016606" w:rsidP="00CB77C4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77C4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49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7C4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24530A-2648-4B35-A0E8-4734CE2DC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7C4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CB77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iChar">
    <w:name w:val="Paragrafi Char"/>
    <w:basedOn w:val="DefaultParagraphFont"/>
    <w:link w:val="Paragrafi0"/>
    <w:rsid w:val="00CB77C4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2019-03-22T10:21:00Z</dcterms:created>
  <dcterms:modified xsi:type="dcterms:W3CDTF">2019-03-22T10:21:00Z</dcterms:modified>
</cp:coreProperties>
</file>