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DF" w:rsidRPr="0044202D" w:rsidRDefault="004B34DF" w:rsidP="004B34DF">
      <w:pPr>
        <w:pStyle w:val="Akti"/>
        <w:keepNext w:val="0"/>
        <w:rPr>
          <w:sz w:val="21"/>
          <w:szCs w:val="21"/>
          <w:lang w:val="it-IT"/>
        </w:rPr>
      </w:pPr>
      <w:bookmarkStart w:id="0" w:name="_GoBack"/>
      <w:bookmarkEnd w:id="0"/>
      <w:r w:rsidRPr="0044202D">
        <w:rPr>
          <w:sz w:val="21"/>
          <w:szCs w:val="21"/>
          <w:lang w:val="it-IT"/>
        </w:rPr>
        <w:t xml:space="preserve">Vendim </w:t>
      </w:r>
    </w:p>
    <w:p w:rsidR="004B34DF" w:rsidRPr="0044202D" w:rsidRDefault="004B34DF" w:rsidP="004B34DF">
      <w:pPr>
        <w:pStyle w:val="NumriData"/>
        <w:keepNext w:val="0"/>
        <w:rPr>
          <w:sz w:val="21"/>
          <w:szCs w:val="21"/>
          <w:lang w:val="it-IT"/>
        </w:rPr>
      </w:pPr>
      <w:r w:rsidRPr="0044202D">
        <w:rPr>
          <w:sz w:val="21"/>
          <w:szCs w:val="21"/>
          <w:lang w:val="it-IT"/>
        </w:rPr>
        <w:t>Nr.488, datë 23.6.2010</w:t>
      </w:r>
    </w:p>
    <w:p w:rsidR="004B34DF" w:rsidRPr="0044202D" w:rsidRDefault="004B34DF" w:rsidP="004B34DF">
      <w:pPr>
        <w:pStyle w:val="Paragrafi0"/>
        <w:rPr>
          <w:sz w:val="21"/>
          <w:szCs w:val="21"/>
          <w:lang w:val="it-IT"/>
        </w:rPr>
      </w:pPr>
    </w:p>
    <w:p w:rsidR="004B34DF" w:rsidRPr="0044202D" w:rsidRDefault="004B34DF" w:rsidP="004B34DF">
      <w:pPr>
        <w:pStyle w:val="Titulli0"/>
        <w:keepNext w:val="0"/>
        <w:rPr>
          <w:sz w:val="21"/>
          <w:szCs w:val="21"/>
          <w:lang w:val="it-IT"/>
        </w:rPr>
      </w:pPr>
      <w:r w:rsidRPr="0044202D">
        <w:rPr>
          <w:sz w:val="21"/>
          <w:szCs w:val="21"/>
          <w:lang w:val="it-IT"/>
        </w:rPr>
        <w:t>Për miratimin e rregullores “Për transportin e sigurt të lëndëve radioaktive”</w:t>
      </w:r>
    </w:p>
    <w:p w:rsidR="004B34DF" w:rsidRPr="0044202D" w:rsidRDefault="004B34DF" w:rsidP="004B34DF">
      <w:pPr>
        <w:pStyle w:val="Paragrafi0"/>
        <w:rPr>
          <w:sz w:val="21"/>
          <w:szCs w:val="21"/>
          <w:lang w:val="it-IT"/>
        </w:rPr>
      </w:pPr>
    </w:p>
    <w:p w:rsidR="004B34DF" w:rsidRPr="0044202D" w:rsidRDefault="004B34DF" w:rsidP="004B34DF">
      <w:pPr>
        <w:pStyle w:val="BazLigjPropozues"/>
        <w:keepNext w:val="0"/>
        <w:rPr>
          <w:sz w:val="21"/>
          <w:szCs w:val="21"/>
          <w:lang w:val="it-IT"/>
        </w:rPr>
      </w:pPr>
      <w:r w:rsidRPr="0044202D">
        <w:rPr>
          <w:sz w:val="21"/>
          <w:szCs w:val="21"/>
          <w:lang w:val="it-IT"/>
        </w:rPr>
        <w:t>Në mbështetje të nenit 100 të Kushtetutës dhe të nenit 9 të ligjit nr.8025, datë 9.11.1995 “Për mbrojtjen nga rrezatimet jonizuese”, të ndryshuar, me propozimin e Ministrit të Shëndetësisë, Këshilli i Ministrave</w:t>
      </w:r>
    </w:p>
    <w:p w:rsidR="004B34DF" w:rsidRPr="0044202D" w:rsidRDefault="004B34DF" w:rsidP="004B34DF">
      <w:pPr>
        <w:pStyle w:val="Paragrafi0"/>
        <w:rPr>
          <w:sz w:val="21"/>
          <w:szCs w:val="21"/>
          <w:lang w:val="it-IT"/>
        </w:rPr>
      </w:pPr>
    </w:p>
    <w:p w:rsidR="004B34DF" w:rsidRPr="004B34DF" w:rsidRDefault="004B34DF" w:rsidP="004B34DF">
      <w:pPr>
        <w:pStyle w:val="VENDOSI0"/>
        <w:keepNext w:val="0"/>
        <w:rPr>
          <w:sz w:val="21"/>
          <w:szCs w:val="21"/>
          <w:lang w:val="it-IT"/>
        </w:rPr>
      </w:pPr>
      <w:r w:rsidRPr="004B34DF">
        <w:rPr>
          <w:sz w:val="21"/>
          <w:szCs w:val="21"/>
          <w:lang w:val="it-IT"/>
        </w:rPr>
        <w:t>Vendosi:</w:t>
      </w:r>
    </w:p>
    <w:p w:rsidR="004B34DF" w:rsidRPr="0044202D" w:rsidRDefault="004B34DF" w:rsidP="004B34DF">
      <w:pPr>
        <w:pStyle w:val="Paragrafi0"/>
        <w:rPr>
          <w:sz w:val="21"/>
          <w:szCs w:val="21"/>
          <w:lang w:val="it-IT"/>
        </w:rPr>
      </w:pPr>
    </w:p>
    <w:p w:rsidR="004B34DF" w:rsidRPr="0044202D" w:rsidRDefault="004B34DF" w:rsidP="004B34DF">
      <w:pPr>
        <w:pStyle w:val="Paragrafi0"/>
        <w:rPr>
          <w:sz w:val="21"/>
          <w:szCs w:val="21"/>
          <w:lang w:val="it-IT"/>
        </w:rPr>
      </w:pPr>
      <w:r w:rsidRPr="0044202D">
        <w:rPr>
          <w:sz w:val="21"/>
          <w:szCs w:val="21"/>
          <w:lang w:val="it-IT"/>
        </w:rPr>
        <w:t>1. Miratimin e rregullores “Për transportin e sigurt të lëndëve radioaktive”, sipas tekstit që i bashkëlidhet këtij vendimi.</w:t>
      </w:r>
    </w:p>
    <w:p w:rsidR="004B34DF" w:rsidRPr="0044202D" w:rsidRDefault="004B34DF" w:rsidP="004B34DF">
      <w:pPr>
        <w:pStyle w:val="Paragrafi0"/>
        <w:rPr>
          <w:sz w:val="21"/>
          <w:szCs w:val="21"/>
          <w:lang w:val="it-IT"/>
        </w:rPr>
      </w:pPr>
      <w:r w:rsidRPr="0044202D">
        <w:rPr>
          <w:sz w:val="21"/>
          <w:szCs w:val="21"/>
          <w:lang w:val="it-IT"/>
        </w:rPr>
        <w:t>2. Ngarkohen Ministria e Shëndetësisë, Komisioni i Mbrojtjes nga Rezatimi dhe Drejtoria e Përgjithshme e Doganave për zbatimin e këtij vendimi</w:t>
      </w:r>
    </w:p>
    <w:p w:rsidR="004B34DF" w:rsidRPr="0044202D" w:rsidRDefault="004B34DF" w:rsidP="004B34DF">
      <w:pPr>
        <w:pStyle w:val="Paragrafi0"/>
        <w:rPr>
          <w:sz w:val="21"/>
          <w:szCs w:val="21"/>
          <w:lang w:val="it-IT"/>
        </w:rPr>
      </w:pPr>
      <w:r w:rsidRPr="0044202D">
        <w:rPr>
          <w:sz w:val="21"/>
          <w:szCs w:val="21"/>
          <w:lang w:val="it-IT"/>
        </w:rPr>
        <w:t>Ky vendim hyn në fuqi pas botimit në Fletoren Zyrtare.</w:t>
      </w:r>
    </w:p>
    <w:p w:rsidR="004B34DF" w:rsidRPr="0044202D" w:rsidRDefault="004B34DF" w:rsidP="004B34DF">
      <w:pPr>
        <w:pStyle w:val="Paragrafi0"/>
        <w:rPr>
          <w:sz w:val="21"/>
          <w:szCs w:val="21"/>
          <w:lang w:val="it-IT"/>
        </w:rPr>
      </w:pPr>
    </w:p>
    <w:p w:rsidR="004B34DF" w:rsidRPr="004B34DF" w:rsidRDefault="004B34DF" w:rsidP="004B34DF">
      <w:pPr>
        <w:pStyle w:val="Autoriteti"/>
        <w:keepNext w:val="0"/>
        <w:rPr>
          <w:sz w:val="21"/>
          <w:szCs w:val="21"/>
          <w:lang w:val="it-IT"/>
        </w:rPr>
      </w:pPr>
      <w:r w:rsidRPr="004B34DF">
        <w:rPr>
          <w:sz w:val="21"/>
          <w:szCs w:val="21"/>
          <w:lang w:val="it-IT"/>
        </w:rPr>
        <w:t xml:space="preserve">Kryeministri </w:t>
      </w:r>
    </w:p>
    <w:p w:rsidR="004B34DF" w:rsidRPr="004B34DF" w:rsidRDefault="004B34DF" w:rsidP="004B34DF">
      <w:pPr>
        <w:pStyle w:val="AutoritetiEmer"/>
        <w:rPr>
          <w:sz w:val="21"/>
          <w:szCs w:val="21"/>
          <w:lang w:val="it-IT"/>
        </w:rPr>
      </w:pPr>
      <w:r w:rsidRPr="004B34DF">
        <w:rPr>
          <w:sz w:val="21"/>
          <w:szCs w:val="21"/>
          <w:lang w:val="it-IT"/>
        </w:rPr>
        <w:t>Sali Berisha</w:t>
      </w:r>
    </w:p>
    <w:p w:rsidR="004B34DF" w:rsidRPr="0044202D" w:rsidRDefault="004B34DF" w:rsidP="004B34DF">
      <w:pPr>
        <w:pStyle w:val="Paragrafi0"/>
        <w:rPr>
          <w:sz w:val="21"/>
          <w:szCs w:val="21"/>
          <w:lang w:val="it-IT"/>
        </w:rPr>
      </w:pPr>
    </w:p>
    <w:p w:rsidR="004B34DF" w:rsidRPr="0044202D" w:rsidRDefault="004B34DF" w:rsidP="004B34DF">
      <w:pPr>
        <w:pStyle w:val="TitulliTitull"/>
        <w:keepNext w:val="0"/>
        <w:rPr>
          <w:b/>
          <w:sz w:val="21"/>
          <w:szCs w:val="21"/>
          <w:lang w:val="it-IT"/>
        </w:rPr>
      </w:pPr>
      <w:r w:rsidRPr="0044202D">
        <w:rPr>
          <w:b/>
          <w:sz w:val="21"/>
          <w:szCs w:val="21"/>
          <w:lang w:val="it-IT"/>
        </w:rPr>
        <w:t>RREGULLORE</w:t>
      </w:r>
    </w:p>
    <w:p w:rsidR="004B34DF" w:rsidRPr="0044202D" w:rsidRDefault="004B34DF" w:rsidP="004B34DF">
      <w:pPr>
        <w:pStyle w:val="TitulliTitull"/>
        <w:keepNext w:val="0"/>
        <w:rPr>
          <w:sz w:val="21"/>
          <w:szCs w:val="21"/>
          <w:lang w:val="it-IT"/>
        </w:rPr>
      </w:pPr>
      <w:r w:rsidRPr="0044202D">
        <w:rPr>
          <w:sz w:val="21"/>
          <w:szCs w:val="21"/>
          <w:lang w:val="it-IT"/>
        </w:rPr>
        <w:t>PËR TRANSPORTIN E SIGURT të LËNDËVE RADIOAKTIVE</w:t>
      </w:r>
    </w:p>
    <w:p w:rsidR="004B34DF" w:rsidRPr="0044202D" w:rsidRDefault="004B34DF" w:rsidP="004B34DF">
      <w:pPr>
        <w:pStyle w:val="Paragrafi0"/>
        <w:rPr>
          <w:sz w:val="21"/>
          <w:szCs w:val="21"/>
          <w:lang w:val="it-IT"/>
        </w:rPr>
      </w:pPr>
    </w:p>
    <w:p w:rsidR="004B34DF" w:rsidRPr="0044202D" w:rsidRDefault="004B34DF" w:rsidP="004B34DF">
      <w:pPr>
        <w:pStyle w:val="NeniNr"/>
        <w:keepNext w:val="0"/>
        <w:rPr>
          <w:sz w:val="21"/>
          <w:szCs w:val="21"/>
          <w:lang w:val="it-IT"/>
        </w:rPr>
      </w:pPr>
      <w:r w:rsidRPr="0044202D">
        <w:rPr>
          <w:sz w:val="21"/>
          <w:szCs w:val="21"/>
          <w:lang w:val="it-IT"/>
        </w:rPr>
        <w:t>Neni 1</w:t>
      </w:r>
    </w:p>
    <w:p w:rsidR="004B34DF" w:rsidRPr="0044202D" w:rsidRDefault="004B34DF" w:rsidP="004B34DF">
      <w:pPr>
        <w:pStyle w:val="NeniNr"/>
        <w:keepNext w:val="0"/>
        <w:rPr>
          <w:sz w:val="21"/>
          <w:szCs w:val="21"/>
          <w:lang w:val="it-IT"/>
        </w:rPr>
      </w:pPr>
      <w:r w:rsidRPr="0044202D">
        <w:rPr>
          <w:sz w:val="21"/>
          <w:szCs w:val="21"/>
          <w:lang w:val="it-IT"/>
        </w:rPr>
        <w:t>Objekti i rregullores</w:t>
      </w:r>
    </w:p>
    <w:p w:rsidR="004B34DF" w:rsidRPr="0044202D" w:rsidRDefault="004B34DF" w:rsidP="004B34DF">
      <w:pPr>
        <w:pStyle w:val="Paragrafi0"/>
        <w:rPr>
          <w:sz w:val="21"/>
          <w:szCs w:val="21"/>
          <w:lang w:val="it-IT"/>
        </w:rPr>
      </w:pPr>
    </w:p>
    <w:p w:rsidR="004B34DF" w:rsidRPr="0044202D" w:rsidRDefault="004B34DF" w:rsidP="004B34DF">
      <w:pPr>
        <w:pStyle w:val="Paragrafi0"/>
        <w:rPr>
          <w:sz w:val="21"/>
          <w:szCs w:val="21"/>
          <w:lang w:val="it-IT"/>
        </w:rPr>
      </w:pPr>
      <w:r w:rsidRPr="0044202D">
        <w:rPr>
          <w:sz w:val="21"/>
          <w:szCs w:val="21"/>
          <w:lang w:val="it-IT"/>
        </w:rPr>
        <w:t xml:space="preserve">Kjo rregullore ka për qëllim përcaktimin e kërkesave bazë, të detyrueshme për zbatim nga personat fizikë dhe juridikë të licencuar në lidhje me transportin e sigurt dhe sigurimin në transport të lëndëve radioaktive. </w:t>
      </w:r>
    </w:p>
    <w:p w:rsidR="004B34DF" w:rsidRPr="0044202D" w:rsidRDefault="004B34DF" w:rsidP="004B34DF">
      <w:pPr>
        <w:pStyle w:val="Paragrafi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2</w:t>
      </w:r>
    </w:p>
    <w:p w:rsidR="004B34DF" w:rsidRPr="004B34DF" w:rsidRDefault="004B34DF" w:rsidP="004B34DF">
      <w:pPr>
        <w:pStyle w:val="NeniNr"/>
        <w:keepNext w:val="0"/>
        <w:rPr>
          <w:sz w:val="21"/>
          <w:szCs w:val="21"/>
          <w:lang w:val="it-IT"/>
        </w:rPr>
      </w:pPr>
      <w:r w:rsidRPr="004B34DF">
        <w:rPr>
          <w:sz w:val="21"/>
          <w:szCs w:val="21"/>
          <w:lang w:val="it-IT"/>
        </w:rPr>
        <w:t>Fusha e zbatimit</w:t>
      </w: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r w:rsidRPr="004B34DF">
        <w:rPr>
          <w:sz w:val="21"/>
          <w:szCs w:val="21"/>
          <w:lang w:val="it-IT"/>
        </w:rPr>
        <w:t>1. Transporti i lëndëve radioaktive, kryhet vetëm me mjete të posaçme nga persona fizikë ose juridikë, të cilët kanë licencë për këtë lloj transporti, të lëshuar nga Komisioni i Mbrojtjes nga Rrezatimet KMR. Kjo nuk i përjashton  personat fizikë e juridikë nga detyrimet e tjera ligjore për transportin e mallrave të rrezikshme.</w:t>
      </w:r>
    </w:p>
    <w:p w:rsidR="004B34DF" w:rsidRPr="004B34DF" w:rsidRDefault="004B34DF" w:rsidP="004B34DF">
      <w:pPr>
        <w:pStyle w:val="Paragrafi0"/>
        <w:rPr>
          <w:sz w:val="21"/>
          <w:szCs w:val="21"/>
          <w:lang w:val="it-IT"/>
        </w:rPr>
      </w:pPr>
      <w:r w:rsidRPr="004B34DF">
        <w:rPr>
          <w:sz w:val="21"/>
          <w:szCs w:val="21"/>
          <w:lang w:val="it-IT"/>
        </w:rPr>
        <w:t>2. Kjo rregullore nuk është e zbatueshme në rastet kur:</w:t>
      </w:r>
    </w:p>
    <w:p w:rsidR="004B34DF" w:rsidRPr="004B34DF" w:rsidRDefault="004B34DF" w:rsidP="004B34DF">
      <w:pPr>
        <w:pStyle w:val="Paragrafi0"/>
        <w:rPr>
          <w:sz w:val="21"/>
          <w:szCs w:val="21"/>
          <w:lang w:val="it-IT"/>
        </w:rPr>
      </w:pPr>
      <w:r w:rsidRPr="004B34DF">
        <w:rPr>
          <w:sz w:val="21"/>
          <w:szCs w:val="21"/>
          <w:lang w:val="it-IT"/>
        </w:rPr>
        <w:t>a) lëndët radioaktive lëvizin brenda një institucioni të licencuar pa kaluar në rrugët publike;</w:t>
      </w:r>
    </w:p>
    <w:p w:rsidR="004B34DF" w:rsidRPr="004B34DF" w:rsidRDefault="004B34DF" w:rsidP="004B34DF">
      <w:pPr>
        <w:pStyle w:val="Paragrafi0"/>
        <w:rPr>
          <w:sz w:val="21"/>
          <w:szCs w:val="21"/>
          <w:lang w:val="it-IT"/>
        </w:rPr>
      </w:pPr>
      <w:r w:rsidRPr="004B34DF">
        <w:rPr>
          <w:sz w:val="21"/>
          <w:szCs w:val="21"/>
          <w:lang w:val="it-IT"/>
        </w:rPr>
        <w:t>b) lëndët  radioaktive ndodhen brenda organizmit të njeriut ose të kafshëve me qëllim kurimi ose diagnostikimi;</w:t>
      </w:r>
    </w:p>
    <w:p w:rsidR="004B34DF" w:rsidRPr="004B34DF" w:rsidRDefault="004B34DF" w:rsidP="004B34DF">
      <w:pPr>
        <w:pStyle w:val="Paragrafi0"/>
        <w:rPr>
          <w:sz w:val="21"/>
          <w:szCs w:val="21"/>
          <w:lang w:val="it-IT"/>
        </w:rPr>
      </w:pPr>
      <w:r w:rsidRPr="004B34DF">
        <w:rPr>
          <w:sz w:val="21"/>
          <w:szCs w:val="21"/>
          <w:lang w:val="it-IT"/>
        </w:rPr>
        <w:t>c) lëndët radioaktive që ndodhen në produktet e konsumit të cilat janë miratuar si të tilla nga KMR;</w:t>
      </w:r>
    </w:p>
    <w:p w:rsidR="004B34DF" w:rsidRPr="004B34DF" w:rsidRDefault="004B34DF" w:rsidP="004B34DF">
      <w:pPr>
        <w:pStyle w:val="Paragrafi0"/>
        <w:rPr>
          <w:sz w:val="21"/>
          <w:szCs w:val="21"/>
          <w:lang w:val="it-IT"/>
        </w:rPr>
      </w:pPr>
      <w:r w:rsidRPr="004B34DF">
        <w:rPr>
          <w:sz w:val="21"/>
          <w:szCs w:val="21"/>
          <w:lang w:val="it-IT"/>
        </w:rPr>
        <w:t>d) transportohen lëndë natyrore dhe minerale, që përmbajnë radiobërthama të cilat nuk i nënshtrohen përpunimit të mëtejshëm me qëllim përdorimin e tyre dhe kanë përqendrimin e radioaktivitetit jo më shumë se dhjetëfishin e vlerave të treguara në tabelën I.</w:t>
      </w: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3</w:t>
      </w:r>
    </w:p>
    <w:p w:rsidR="004B34DF" w:rsidRPr="004B34DF" w:rsidRDefault="004B34DF" w:rsidP="004B34DF">
      <w:pPr>
        <w:pStyle w:val="NeniTitull"/>
        <w:keepNext w:val="0"/>
        <w:rPr>
          <w:sz w:val="21"/>
          <w:szCs w:val="21"/>
          <w:lang w:val="it-IT"/>
        </w:rPr>
      </w:pPr>
      <w:r w:rsidRPr="004B34DF">
        <w:rPr>
          <w:sz w:val="21"/>
          <w:szCs w:val="21"/>
          <w:lang w:val="it-IT"/>
        </w:rPr>
        <w:t>Përkufizime</w:t>
      </w:r>
    </w:p>
    <w:p w:rsidR="004B34DF" w:rsidRPr="0044202D" w:rsidRDefault="004B34DF" w:rsidP="004B34DF">
      <w:pPr>
        <w:pStyle w:val="Paragrafi0"/>
        <w:rPr>
          <w:sz w:val="21"/>
          <w:szCs w:val="21"/>
          <w:lang w:val="it-IT"/>
        </w:rPr>
      </w:pPr>
    </w:p>
    <w:p w:rsidR="004B34DF" w:rsidRPr="0044202D" w:rsidRDefault="004B34DF" w:rsidP="004B34DF">
      <w:pPr>
        <w:pStyle w:val="Paragrafi0"/>
        <w:rPr>
          <w:sz w:val="21"/>
          <w:szCs w:val="21"/>
          <w:lang w:val="it-IT"/>
        </w:rPr>
      </w:pPr>
      <w:r w:rsidRPr="0044202D">
        <w:rPr>
          <w:sz w:val="21"/>
          <w:szCs w:val="21"/>
          <w:lang w:val="it-IT"/>
        </w:rPr>
        <w:t>Për qëllim të kësaj rregulloreje termat e mëposhtëm kanë këto kuptime:</w:t>
      </w:r>
    </w:p>
    <w:p w:rsidR="004B34DF" w:rsidRPr="0044202D" w:rsidRDefault="004B34DF" w:rsidP="004B34DF">
      <w:pPr>
        <w:pStyle w:val="Paragrafi0"/>
        <w:rPr>
          <w:sz w:val="21"/>
          <w:szCs w:val="21"/>
          <w:lang w:val="it-IT"/>
        </w:rPr>
      </w:pPr>
      <w:r w:rsidRPr="0044202D">
        <w:rPr>
          <w:sz w:val="21"/>
          <w:szCs w:val="21"/>
          <w:lang w:val="it-IT"/>
        </w:rPr>
        <w:t>a) A</w:t>
      </w:r>
      <w:r w:rsidRPr="0044202D">
        <w:rPr>
          <w:sz w:val="21"/>
          <w:szCs w:val="21"/>
          <w:vertAlign w:val="subscript"/>
          <w:lang w:val="it-IT"/>
        </w:rPr>
        <w:t>1</w:t>
      </w:r>
      <w:r w:rsidRPr="0044202D">
        <w:rPr>
          <w:sz w:val="21"/>
          <w:szCs w:val="21"/>
          <w:lang w:val="it-IT"/>
        </w:rPr>
        <w:t xml:space="preserve"> është vlera e aktivitetit maksimal të lëndëve radioaktive në formë të posaçme për çdo radiobërthamë që mund të  transportohet me paketimet e llojit A.  </w:t>
      </w:r>
    </w:p>
    <w:p w:rsidR="004B34DF" w:rsidRPr="0044202D" w:rsidRDefault="004B34DF" w:rsidP="004B34DF">
      <w:pPr>
        <w:pStyle w:val="Paragrafi0"/>
        <w:rPr>
          <w:sz w:val="21"/>
          <w:szCs w:val="21"/>
          <w:lang w:val="it-IT"/>
        </w:rPr>
      </w:pPr>
      <w:r w:rsidRPr="0044202D">
        <w:rPr>
          <w:sz w:val="21"/>
          <w:szCs w:val="21"/>
          <w:lang w:val="it-IT"/>
        </w:rPr>
        <w:t>b) A</w:t>
      </w:r>
      <w:r w:rsidRPr="0044202D">
        <w:rPr>
          <w:sz w:val="21"/>
          <w:szCs w:val="21"/>
          <w:vertAlign w:val="subscript"/>
          <w:lang w:val="it-IT"/>
        </w:rPr>
        <w:t>2</w:t>
      </w:r>
      <w:r w:rsidRPr="0044202D">
        <w:rPr>
          <w:sz w:val="21"/>
          <w:szCs w:val="21"/>
          <w:lang w:val="it-IT"/>
        </w:rPr>
        <w:t xml:space="preserve"> është  vlera e aktivitetit maksimal të lëndëve radioaktive për çdo radiobërthamë, përveç atyre që janë në formë të posaçme, që  mund të transportohen me paketimet e llojit A. Vlerat e A</w:t>
      </w:r>
      <w:r w:rsidRPr="0044202D">
        <w:rPr>
          <w:sz w:val="21"/>
          <w:szCs w:val="21"/>
          <w:vertAlign w:val="subscript"/>
          <w:lang w:val="it-IT"/>
        </w:rPr>
        <w:t>1</w:t>
      </w:r>
      <w:r w:rsidRPr="0044202D">
        <w:rPr>
          <w:sz w:val="21"/>
          <w:szCs w:val="21"/>
          <w:lang w:val="it-IT"/>
        </w:rPr>
        <w:t xml:space="preserve"> dhe A</w:t>
      </w:r>
      <w:r w:rsidRPr="0044202D">
        <w:rPr>
          <w:sz w:val="21"/>
          <w:szCs w:val="21"/>
          <w:vertAlign w:val="subscript"/>
          <w:lang w:val="it-IT"/>
        </w:rPr>
        <w:t>2</w:t>
      </w:r>
      <w:r w:rsidRPr="0044202D">
        <w:rPr>
          <w:sz w:val="21"/>
          <w:szCs w:val="21"/>
          <w:lang w:val="it-IT"/>
        </w:rPr>
        <w:t xml:space="preserve"> tregohen në tabelën I bashkëngjitur kësaj rregulloreje. </w:t>
      </w:r>
    </w:p>
    <w:p w:rsidR="004B34DF" w:rsidRPr="0044202D" w:rsidRDefault="004B34DF" w:rsidP="004B34DF">
      <w:pPr>
        <w:pStyle w:val="Paragrafi0"/>
        <w:rPr>
          <w:sz w:val="21"/>
          <w:szCs w:val="21"/>
          <w:lang w:val="it-IT"/>
        </w:rPr>
      </w:pPr>
      <w:r w:rsidRPr="0044202D">
        <w:rPr>
          <w:sz w:val="21"/>
          <w:szCs w:val="21"/>
          <w:lang w:val="it-IT"/>
        </w:rPr>
        <w:t>c) Dërguesi është çdo person fizik ose juridik, i cili përgatit ngarkesën për transport dhe  emërtohet si dërgues i paketimit në dokumentet e transportit.</w:t>
      </w:r>
    </w:p>
    <w:p w:rsidR="004B34DF" w:rsidRPr="0044202D" w:rsidRDefault="004B34DF" w:rsidP="004B34DF">
      <w:pPr>
        <w:pStyle w:val="Paragrafi0"/>
        <w:rPr>
          <w:sz w:val="21"/>
          <w:szCs w:val="21"/>
          <w:lang w:val="it-IT"/>
        </w:rPr>
      </w:pPr>
      <w:r w:rsidRPr="0044202D">
        <w:rPr>
          <w:sz w:val="21"/>
          <w:szCs w:val="21"/>
          <w:lang w:val="it-IT"/>
        </w:rPr>
        <w:t>d) Transportuesi është çdo person fizik ose juridik, që merr përsipër transportin e lëndëve radioaktive me automjete të posaçme dhe emërtohet si i tillë në dokumentet e transportit.</w:t>
      </w:r>
    </w:p>
    <w:p w:rsidR="004B34DF" w:rsidRPr="0044202D" w:rsidRDefault="004B34DF" w:rsidP="004B34DF">
      <w:pPr>
        <w:pStyle w:val="Paragrafi0"/>
        <w:rPr>
          <w:sz w:val="21"/>
          <w:szCs w:val="21"/>
          <w:lang w:val="it-IT"/>
        </w:rPr>
      </w:pPr>
      <w:r w:rsidRPr="0044202D">
        <w:rPr>
          <w:sz w:val="21"/>
          <w:szCs w:val="21"/>
          <w:lang w:val="it-IT"/>
        </w:rPr>
        <w:t>e) Marrësi është çdo person fizik ose juridik i cili merr në dorëzim paketimin me lëndën radioaktive dhe emërtohet si i tillë në dokumentet e transportit.</w:t>
      </w:r>
    </w:p>
    <w:p w:rsidR="004B34DF" w:rsidRPr="0044202D" w:rsidRDefault="004B34DF" w:rsidP="004B34DF">
      <w:pPr>
        <w:pStyle w:val="Paragrafi0"/>
        <w:rPr>
          <w:sz w:val="21"/>
          <w:szCs w:val="21"/>
          <w:lang w:val="it-IT"/>
        </w:rPr>
      </w:pPr>
      <w:r w:rsidRPr="0044202D">
        <w:rPr>
          <w:sz w:val="21"/>
          <w:szCs w:val="21"/>
          <w:lang w:val="it-IT"/>
        </w:rPr>
        <w:t>f) Lëndë me aktivitet specifik të ulët janë lëndë radioaktive, të cilat kanë një aktivitet specifik të kufizuar nën nivelet e tabelës I.</w:t>
      </w:r>
    </w:p>
    <w:p w:rsidR="004B34DF" w:rsidRPr="0044202D" w:rsidRDefault="004B34DF" w:rsidP="004B34DF">
      <w:pPr>
        <w:pStyle w:val="Paragrafi0"/>
        <w:rPr>
          <w:sz w:val="21"/>
          <w:szCs w:val="21"/>
          <w:lang w:val="it-IT"/>
        </w:rPr>
      </w:pPr>
      <w:r w:rsidRPr="0044202D">
        <w:rPr>
          <w:sz w:val="21"/>
          <w:szCs w:val="21"/>
          <w:lang w:val="it-IT"/>
        </w:rPr>
        <w:t>g) Lëndë emetuese alfa me toksicitet të ulët : uraniumi natyror; uraniumi i varfëruar; toriumi natyror, uraniumi-235 ose 238, toriumi-232,228 dhe 230 kur përmbahen në minerale,  në koncentrate kimike dhe fizike  ose në emetuesit alfa me periodë përgjysmimi më të vogël se dhjetë ditë.</w:t>
      </w:r>
    </w:p>
    <w:p w:rsidR="004B34DF" w:rsidRPr="0044202D" w:rsidRDefault="004B34DF" w:rsidP="004B34DF">
      <w:pPr>
        <w:pStyle w:val="Paragrafi0"/>
        <w:rPr>
          <w:sz w:val="21"/>
          <w:szCs w:val="21"/>
          <w:lang w:val="it-IT"/>
        </w:rPr>
      </w:pPr>
      <w:r w:rsidRPr="0044202D">
        <w:rPr>
          <w:sz w:val="21"/>
          <w:szCs w:val="21"/>
          <w:lang w:val="it-IT"/>
        </w:rPr>
        <w:t>h) Paketimi është tërësia e komponentëve të nevojshëm për të mbyllur plotësisht përmbajtjen radioaktive.</w:t>
      </w:r>
    </w:p>
    <w:p w:rsidR="004B34DF" w:rsidRPr="0044202D" w:rsidRDefault="004B34DF" w:rsidP="004B34DF">
      <w:pPr>
        <w:pStyle w:val="Paragrafi0"/>
        <w:rPr>
          <w:sz w:val="21"/>
          <w:szCs w:val="21"/>
        </w:rPr>
      </w:pPr>
      <w:r w:rsidRPr="0044202D">
        <w:rPr>
          <w:sz w:val="21"/>
          <w:szCs w:val="21"/>
        </w:rPr>
        <w:t>i) Pako paketimin së bashku me lëndën radioaktive të gatshme për transport.</w:t>
      </w:r>
    </w:p>
    <w:p w:rsidR="004B34DF" w:rsidRPr="0044202D" w:rsidRDefault="004B34DF" w:rsidP="004B34DF">
      <w:pPr>
        <w:pStyle w:val="Paragrafi0"/>
        <w:rPr>
          <w:sz w:val="21"/>
          <w:szCs w:val="21"/>
        </w:rPr>
      </w:pPr>
      <w:r w:rsidRPr="0044202D">
        <w:rPr>
          <w:sz w:val="21"/>
          <w:szCs w:val="21"/>
        </w:rPr>
        <w:t>j) Automjet</w:t>
      </w:r>
      <w:r>
        <w:rPr>
          <w:sz w:val="21"/>
          <w:szCs w:val="21"/>
        </w:rPr>
        <w:t xml:space="preserve"> i posa</w:t>
      </w:r>
      <w:r w:rsidRPr="0044202D">
        <w:rPr>
          <w:sz w:val="21"/>
          <w:szCs w:val="21"/>
        </w:rPr>
        <w:t>çëm është një automjet, i cili përmbush të gjitha kërkesat për transportin e lëndëve radioaktive.</w:t>
      </w:r>
    </w:p>
    <w:p w:rsidR="004B34DF" w:rsidRPr="0044202D" w:rsidRDefault="004B34DF" w:rsidP="004B34DF">
      <w:pPr>
        <w:pStyle w:val="Paragrafi0"/>
        <w:rPr>
          <w:sz w:val="21"/>
          <w:szCs w:val="21"/>
        </w:rPr>
      </w:pPr>
      <w:r w:rsidRPr="0044202D">
        <w:rPr>
          <w:sz w:val="21"/>
          <w:szCs w:val="21"/>
        </w:rPr>
        <w:t>k) Lëndë radioaktive në formë të posaçme është një lëndë radioaktive e ngurtë që nuk shpërhapet në mjedis ose që ndodhet në një kapsulë mbrojtëse.</w:t>
      </w:r>
    </w:p>
    <w:p w:rsidR="004B34DF" w:rsidRPr="0044202D" w:rsidRDefault="004B34DF" w:rsidP="004B34DF">
      <w:pPr>
        <w:pStyle w:val="Paragrafi0"/>
        <w:rPr>
          <w:sz w:val="21"/>
          <w:szCs w:val="21"/>
        </w:rPr>
      </w:pPr>
      <w:r w:rsidRPr="0044202D">
        <w:rPr>
          <w:sz w:val="21"/>
          <w:szCs w:val="21"/>
        </w:rPr>
        <w:t>l) Indeksi i transportit është një numër që shënohet mbi pakon me lëndë radioaktive, i cili shërben  për të kontrolluar ekspozimin ndaj rrezatimeve.</w:t>
      </w:r>
    </w:p>
    <w:p w:rsidR="004B34DF" w:rsidRPr="0044202D" w:rsidRDefault="004B34DF" w:rsidP="004B34DF">
      <w:pPr>
        <w:pStyle w:val="Paragrafi0"/>
        <w:rPr>
          <w:sz w:val="21"/>
          <w:szCs w:val="21"/>
        </w:rPr>
      </w:pPr>
    </w:p>
    <w:p w:rsidR="004B34DF" w:rsidRPr="0044202D" w:rsidRDefault="004B34DF" w:rsidP="004B34DF">
      <w:pPr>
        <w:pStyle w:val="NeniNr"/>
        <w:keepNext w:val="0"/>
        <w:rPr>
          <w:sz w:val="21"/>
          <w:szCs w:val="21"/>
        </w:rPr>
      </w:pPr>
      <w:r w:rsidRPr="0044202D">
        <w:rPr>
          <w:sz w:val="21"/>
          <w:szCs w:val="21"/>
        </w:rPr>
        <w:t>Neni 4</w:t>
      </w:r>
    </w:p>
    <w:p w:rsidR="004B34DF" w:rsidRPr="0044202D" w:rsidRDefault="004B34DF" w:rsidP="004B34DF">
      <w:pPr>
        <w:pStyle w:val="NeniTitull"/>
        <w:keepNext w:val="0"/>
        <w:rPr>
          <w:sz w:val="21"/>
          <w:szCs w:val="21"/>
        </w:rPr>
      </w:pPr>
      <w:r w:rsidRPr="0044202D">
        <w:rPr>
          <w:sz w:val="21"/>
          <w:szCs w:val="21"/>
        </w:rPr>
        <w:t>Njoftimi për transport</w:t>
      </w:r>
    </w:p>
    <w:p w:rsidR="004B34DF" w:rsidRPr="0044202D" w:rsidRDefault="004B34DF" w:rsidP="004B34DF">
      <w:pPr>
        <w:pStyle w:val="Paragrafi0"/>
        <w:rPr>
          <w:sz w:val="21"/>
          <w:szCs w:val="21"/>
          <w:lang w:val="en-GB"/>
        </w:rPr>
      </w:pPr>
    </w:p>
    <w:p w:rsidR="004B34DF" w:rsidRPr="0044202D" w:rsidRDefault="004B34DF" w:rsidP="004B34DF">
      <w:pPr>
        <w:pStyle w:val="Paragrafi0"/>
        <w:rPr>
          <w:sz w:val="21"/>
          <w:szCs w:val="21"/>
          <w:lang w:val="en-GB"/>
        </w:rPr>
      </w:pPr>
      <w:r w:rsidRPr="0044202D">
        <w:rPr>
          <w:sz w:val="21"/>
          <w:szCs w:val="21"/>
          <w:lang w:val="en-GB"/>
        </w:rPr>
        <w:t>Transporti i lëndëve radioaktive kryhet vetëm pasi të jetë njoftuar dhe të jetë nxjerrë një aprovim i posaçëm nga Zyra e Mbrojtjes nga Rrezatimet. Njoftimi në Zyrën për Mbrojtjen nga Rrezatimet (ZMR) duhet të bëhet të paktën një javë përpara transportimit. Me realizimin e transportit, transportuesi është i detyruar të paraqesë në Zyrën e Mbrojtjes nga Rrezatimet një kopje të dokumentit të dorëzimit të firmosur nga marrësi.</w:t>
      </w:r>
    </w:p>
    <w:p w:rsidR="004B34DF" w:rsidRPr="0044202D" w:rsidRDefault="004B34DF" w:rsidP="004B34DF">
      <w:pPr>
        <w:pStyle w:val="Paragrafi0"/>
        <w:rPr>
          <w:sz w:val="21"/>
          <w:szCs w:val="21"/>
          <w:lang w:val="en-GB"/>
        </w:rPr>
      </w:pPr>
    </w:p>
    <w:p w:rsidR="004B34DF" w:rsidRPr="0044202D" w:rsidRDefault="004B34DF" w:rsidP="004B34DF">
      <w:pPr>
        <w:pStyle w:val="NeniNr"/>
        <w:keepNext w:val="0"/>
        <w:rPr>
          <w:sz w:val="21"/>
          <w:szCs w:val="21"/>
        </w:rPr>
      </w:pPr>
      <w:r w:rsidRPr="0044202D">
        <w:rPr>
          <w:sz w:val="21"/>
          <w:szCs w:val="21"/>
        </w:rPr>
        <w:t>Neni 5</w:t>
      </w:r>
    </w:p>
    <w:p w:rsidR="004B34DF" w:rsidRPr="0044202D" w:rsidRDefault="004B34DF" w:rsidP="004B34DF">
      <w:pPr>
        <w:pStyle w:val="NeniTitull"/>
        <w:keepNext w:val="0"/>
        <w:rPr>
          <w:sz w:val="21"/>
          <w:szCs w:val="21"/>
        </w:rPr>
      </w:pPr>
      <w:r w:rsidRPr="0044202D">
        <w:rPr>
          <w:sz w:val="21"/>
          <w:szCs w:val="21"/>
        </w:rPr>
        <w:t>Klasifikimi i pakove</w:t>
      </w:r>
    </w:p>
    <w:p w:rsidR="004B34DF" w:rsidRPr="004B34DF" w:rsidRDefault="004B34DF" w:rsidP="004B34DF">
      <w:pPr>
        <w:pStyle w:val="Paragrafi0"/>
        <w:rPr>
          <w:sz w:val="21"/>
          <w:szCs w:val="21"/>
          <w:lang w:val="en-GB"/>
        </w:rPr>
      </w:pPr>
    </w:p>
    <w:p w:rsidR="004B34DF" w:rsidRPr="004B34DF" w:rsidRDefault="004B34DF" w:rsidP="004B34DF">
      <w:pPr>
        <w:pStyle w:val="Paragrafi0"/>
        <w:rPr>
          <w:sz w:val="21"/>
          <w:szCs w:val="21"/>
          <w:lang w:val="en-GB"/>
        </w:rPr>
      </w:pPr>
      <w:r w:rsidRPr="004B34DF">
        <w:rPr>
          <w:sz w:val="21"/>
          <w:szCs w:val="21"/>
          <w:lang w:val="en-GB"/>
        </w:rPr>
        <w:t xml:space="preserve">1. Klasifikimi i pakove lidhet me cilësinë e lëndës radioaktive që do të transportohet dhe me kërkesat që  duhet të përmbushin paketimet në kushtet e një transporti normal dhe të një aksidenti që mund të ndodhë gjatë këtij transporti. Dërguesi është përgjegjës për përdorimin e paketimeve të përshtatshme,(sipas standardeve ndërkombëtare ( TS-R-1 IAEA ) duke marrë parasysh karakteristikat e lëndëve radioaktive që do të transportohen. </w:t>
      </w:r>
    </w:p>
    <w:p w:rsidR="004B34DF" w:rsidRPr="004B34DF" w:rsidRDefault="004B34DF" w:rsidP="004B34DF">
      <w:pPr>
        <w:pStyle w:val="Paragrafi0"/>
        <w:rPr>
          <w:sz w:val="21"/>
          <w:szCs w:val="21"/>
          <w:lang w:val="en-GB"/>
        </w:rPr>
      </w:pPr>
      <w:r w:rsidRPr="004B34DF">
        <w:rPr>
          <w:sz w:val="21"/>
          <w:szCs w:val="21"/>
          <w:lang w:val="en-GB"/>
        </w:rPr>
        <w:t>2. Pakot për transportin e lëndëve radioaktive klasifikohen si më poshtë:</w:t>
      </w:r>
    </w:p>
    <w:p w:rsidR="004B34DF" w:rsidRPr="004B34DF" w:rsidRDefault="004B34DF" w:rsidP="004B34DF">
      <w:pPr>
        <w:pStyle w:val="Paragrafi0"/>
        <w:rPr>
          <w:sz w:val="21"/>
          <w:szCs w:val="21"/>
          <w:lang w:val="en-GB"/>
        </w:rPr>
      </w:pPr>
      <w:r w:rsidRPr="004B34DF">
        <w:rPr>
          <w:sz w:val="21"/>
          <w:szCs w:val="21"/>
          <w:lang w:val="en-GB"/>
        </w:rPr>
        <w:t>a) Pako të përjashtuara  do të thotë pako me artikuj konsumi ose instrumente që përmbajnë lëndë radioaktive me aktivitet jo më të  madh se vlerat e paraqitura në tabelën II bashkëlidhur. Për transportin me postë aktiviteti total në çdo pako të përjashtuar nuk duhet të kalojë një të dhjetën e kufizimeve të specifikuara në tabelën II.</w:t>
      </w:r>
    </w:p>
    <w:p w:rsidR="004B34DF" w:rsidRPr="004B34DF" w:rsidRDefault="004B34DF" w:rsidP="004B34DF">
      <w:pPr>
        <w:pStyle w:val="Paragrafi0"/>
        <w:rPr>
          <w:sz w:val="21"/>
          <w:szCs w:val="21"/>
          <w:lang w:val="en-GB"/>
        </w:rPr>
      </w:pPr>
      <w:r w:rsidRPr="004B34DF">
        <w:rPr>
          <w:sz w:val="21"/>
          <w:szCs w:val="21"/>
          <w:lang w:val="en-GB"/>
        </w:rPr>
        <w:t xml:space="preserve">b) Pako industriale (IP-1, IP-2, IP-3) do të thotë paketim me lëndë radioaktive që kanë aktivitet specifik të ulët ose me objekte me sipërfaqe të kontaminuara. Në të gjitha rastet nivelet e rrezatimeve për këto pako nuk duhet të jenë më të larta se 10 mSv/orë në distancën 3 m nga materiali i </w:t>
      </w:r>
      <w:r w:rsidRPr="004B34DF">
        <w:rPr>
          <w:sz w:val="21"/>
          <w:szCs w:val="21"/>
          <w:lang w:val="en-GB"/>
        </w:rPr>
        <w:lastRenderedPageBreak/>
        <w:t>pambrojtur.</w:t>
      </w:r>
    </w:p>
    <w:p w:rsidR="004B34DF" w:rsidRPr="004B34DF" w:rsidRDefault="004B34DF" w:rsidP="004B34DF">
      <w:pPr>
        <w:pStyle w:val="Paragrafi0"/>
        <w:rPr>
          <w:sz w:val="21"/>
          <w:szCs w:val="21"/>
          <w:lang w:val="en-GB"/>
        </w:rPr>
      </w:pPr>
      <w:r w:rsidRPr="004B34DF">
        <w:rPr>
          <w:sz w:val="21"/>
          <w:szCs w:val="21"/>
          <w:lang w:val="en-GB"/>
        </w:rPr>
        <w:t>c) Pako të llojit A do të thotë paketime me lëndë radioaktive  me aktivitet deri në vlerën A1, nëse lënda radioaktive është në formë të posaçme  ose deri në vlerën A2, nëse  lënda radioaktive nuk është në formë  të posaçme. Për përzierje radiobërthamash për të cilat aktivitetet respektive janë të njohura duhet të aplikohen konditat e mëposhtme për përmbajtjen radioaktive të një pakoje të llojit A:</w:t>
      </w:r>
    </w:p>
    <w:p w:rsidR="004B34DF" w:rsidRPr="0044202D" w:rsidRDefault="004B34DF" w:rsidP="004B34DF">
      <w:pPr>
        <w:pStyle w:val="Paragrafi0"/>
        <w:rPr>
          <w:sz w:val="21"/>
          <w:szCs w:val="21"/>
          <w:lang w:val="it-IT"/>
        </w:rPr>
      </w:pPr>
      <w:r w:rsidRPr="0044202D">
        <w:rPr>
          <w:rFonts w:ascii="Times New Roman" w:hAnsi="Times New Roman"/>
          <w:sz w:val="21"/>
          <w:szCs w:val="21"/>
          <w:lang w:val="it-IT"/>
        </w:rPr>
        <w:t>∑</w:t>
      </w:r>
      <w:r w:rsidRPr="0044202D">
        <w:rPr>
          <w:sz w:val="21"/>
          <w:szCs w:val="21"/>
          <w:lang w:val="it-IT"/>
        </w:rPr>
        <w:t>B(i)/A</w:t>
      </w:r>
      <w:r w:rsidRPr="0044202D">
        <w:rPr>
          <w:sz w:val="21"/>
          <w:szCs w:val="21"/>
          <w:vertAlign w:val="subscript"/>
          <w:lang w:val="it-IT"/>
        </w:rPr>
        <w:t>1</w:t>
      </w:r>
      <w:r w:rsidRPr="0044202D">
        <w:rPr>
          <w:sz w:val="21"/>
          <w:szCs w:val="21"/>
          <w:lang w:val="it-IT"/>
        </w:rPr>
        <w:t xml:space="preserve">(i) </w:t>
      </w:r>
      <w:r w:rsidRPr="0044202D">
        <w:rPr>
          <w:rFonts w:ascii="Times New Roman" w:hAnsi="Times New Roman"/>
          <w:sz w:val="21"/>
          <w:szCs w:val="21"/>
          <w:lang w:val="it-IT"/>
        </w:rPr>
        <w:t>∑</w:t>
      </w:r>
      <w:r w:rsidRPr="0044202D">
        <w:rPr>
          <w:sz w:val="21"/>
          <w:szCs w:val="21"/>
          <w:lang w:val="it-IT"/>
        </w:rPr>
        <w:t>C(j)/A</w:t>
      </w:r>
      <w:r w:rsidRPr="0044202D">
        <w:rPr>
          <w:sz w:val="21"/>
          <w:szCs w:val="21"/>
          <w:vertAlign w:val="subscript"/>
          <w:lang w:val="it-IT"/>
        </w:rPr>
        <w:t>2</w:t>
      </w:r>
      <w:r w:rsidRPr="0044202D">
        <w:rPr>
          <w:sz w:val="21"/>
          <w:szCs w:val="21"/>
          <w:lang w:val="it-IT"/>
        </w:rPr>
        <w:t>(j) &lt; 1</w:t>
      </w:r>
    </w:p>
    <w:p w:rsidR="004B34DF" w:rsidRPr="0044202D" w:rsidRDefault="004B34DF" w:rsidP="004B34DF">
      <w:pPr>
        <w:pStyle w:val="Paragrafi0"/>
        <w:rPr>
          <w:sz w:val="21"/>
          <w:szCs w:val="21"/>
          <w:lang w:val="it-IT"/>
        </w:rPr>
      </w:pPr>
      <w:r w:rsidRPr="0044202D">
        <w:rPr>
          <w:sz w:val="21"/>
          <w:szCs w:val="21"/>
          <w:lang w:val="it-IT"/>
        </w:rPr>
        <w:t xml:space="preserve">i                    j                   </w:t>
      </w:r>
    </w:p>
    <w:p w:rsidR="004B34DF" w:rsidRPr="0044202D" w:rsidRDefault="004B34DF" w:rsidP="004B34DF">
      <w:pPr>
        <w:pStyle w:val="Paragrafi0"/>
        <w:rPr>
          <w:sz w:val="21"/>
          <w:szCs w:val="21"/>
          <w:lang w:val="it-IT"/>
        </w:rPr>
      </w:pPr>
      <w:r w:rsidRPr="0044202D">
        <w:rPr>
          <w:sz w:val="21"/>
          <w:szCs w:val="21"/>
          <w:lang w:val="it-IT"/>
        </w:rPr>
        <w:t xml:space="preserve">Ku  B(i) është aktiviteti i radiobërthamave në formë të posaçme dhe  </w:t>
      </w:r>
    </w:p>
    <w:p w:rsidR="004B34DF" w:rsidRPr="0044202D" w:rsidRDefault="004B34DF" w:rsidP="004B34DF">
      <w:pPr>
        <w:pStyle w:val="Paragrafi0"/>
        <w:rPr>
          <w:sz w:val="21"/>
          <w:szCs w:val="21"/>
          <w:lang w:val="it-IT"/>
        </w:rPr>
      </w:pPr>
      <w:r w:rsidRPr="0044202D">
        <w:rPr>
          <w:sz w:val="21"/>
          <w:szCs w:val="21"/>
          <w:lang w:val="it-IT"/>
        </w:rPr>
        <w:t xml:space="preserve">C(j) është aktiviteti i radiobërthamave në formë të ndryshme A1(i) është   </w:t>
      </w:r>
    </w:p>
    <w:p w:rsidR="004B34DF" w:rsidRPr="0044202D" w:rsidRDefault="004B34DF" w:rsidP="004B34DF">
      <w:pPr>
        <w:pStyle w:val="Paragrafi0"/>
        <w:rPr>
          <w:sz w:val="21"/>
          <w:szCs w:val="21"/>
          <w:lang w:val="it-IT"/>
        </w:rPr>
      </w:pPr>
      <w:r w:rsidRPr="0044202D">
        <w:rPr>
          <w:sz w:val="21"/>
          <w:szCs w:val="21"/>
          <w:lang w:val="it-IT"/>
        </w:rPr>
        <w:t>vlera  A1 për radiobërthamën i dhe A2(j) është vlera  A2  për radiobërthamën j.</w:t>
      </w:r>
    </w:p>
    <w:p w:rsidR="004B34DF" w:rsidRPr="0044202D" w:rsidRDefault="004B34DF" w:rsidP="004B34DF">
      <w:pPr>
        <w:pStyle w:val="Paragrafi0"/>
        <w:rPr>
          <w:sz w:val="21"/>
          <w:szCs w:val="21"/>
          <w:lang w:val="it-IT"/>
        </w:rPr>
      </w:pPr>
      <w:r w:rsidRPr="0044202D">
        <w:rPr>
          <w:sz w:val="21"/>
          <w:szCs w:val="21"/>
          <w:lang w:val="it-IT"/>
        </w:rPr>
        <w:t>d) Pako të llojit B(U) dhe B(M) do të thotë paketime që përmbajnë:</w:t>
      </w:r>
    </w:p>
    <w:p w:rsidR="004B34DF" w:rsidRPr="0044202D" w:rsidRDefault="004B34DF" w:rsidP="004B34DF">
      <w:pPr>
        <w:pStyle w:val="Paragrafi0"/>
        <w:rPr>
          <w:sz w:val="21"/>
          <w:szCs w:val="21"/>
          <w:lang w:val="it-IT"/>
        </w:rPr>
      </w:pPr>
      <w:r w:rsidRPr="0044202D">
        <w:rPr>
          <w:sz w:val="21"/>
          <w:szCs w:val="21"/>
          <w:lang w:val="it-IT"/>
        </w:rPr>
        <w:t>i) aktivitete jo më të vogla sesa ato të licencuara për performancën e paketimit;</w:t>
      </w:r>
    </w:p>
    <w:p w:rsidR="004B34DF" w:rsidRPr="0044202D" w:rsidRDefault="004B34DF" w:rsidP="004B34DF">
      <w:pPr>
        <w:pStyle w:val="Paragrafi0"/>
        <w:rPr>
          <w:sz w:val="21"/>
          <w:szCs w:val="21"/>
          <w:lang w:val="it-IT"/>
        </w:rPr>
      </w:pPr>
      <w:r w:rsidRPr="0044202D">
        <w:rPr>
          <w:sz w:val="21"/>
          <w:szCs w:val="21"/>
          <w:lang w:val="it-IT"/>
        </w:rPr>
        <w:t>ii) radiobërthama të njëjta me ato të autorizuara për përformancën e paketimit;</w:t>
      </w:r>
    </w:p>
    <w:p w:rsidR="004B34DF" w:rsidRPr="0044202D" w:rsidRDefault="004B34DF" w:rsidP="004B34DF">
      <w:pPr>
        <w:pStyle w:val="Paragrafi0"/>
        <w:rPr>
          <w:sz w:val="21"/>
          <w:szCs w:val="21"/>
          <w:lang w:val="it-IT"/>
        </w:rPr>
      </w:pPr>
      <w:r w:rsidRPr="0044202D">
        <w:rPr>
          <w:sz w:val="21"/>
          <w:szCs w:val="21"/>
          <w:lang w:val="it-IT"/>
        </w:rPr>
        <w:t>iii) përbërje kimike dhe fizike të njëjtë me ato të licencuara për performancën e paketimit.</w:t>
      </w:r>
    </w:p>
    <w:p w:rsidR="004B34DF" w:rsidRPr="0044202D" w:rsidRDefault="004B34DF" w:rsidP="004B34DF">
      <w:pPr>
        <w:pStyle w:val="Paragrafi0"/>
        <w:rPr>
          <w:sz w:val="21"/>
          <w:szCs w:val="21"/>
          <w:lang w:val="it-IT"/>
        </w:rPr>
      </w:pPr>
      <w:r w:rsidRPr="0044202D">
        <w:rPr>
          <w:sz w:val="21"/>
          <w:szCs w:val="21"/>
          <w:lang w:val="it-IT"/>
        </w:rPr>
        <w:t xml:space="preserve">Pako të llojit B(U) dhe B(M) nuk duhet të përmbajnë aktivitete më të mëdha se në vazhdim: </w:t>
      </w:r>
    </w:p>
    <w:p w:rsidR="004B34DF" w:rsidRPr="0044202D" w:rsidRDefault="004B34DF" w:rsidP="004B34DF">
      <w:pPr>
        <w:pStyle w:val="Paragrafi0"/>
        <w:rPr>
          <w:sz w:val="21"/>
          <w:szCs w:val="21"/>
          <w:lang w:val="it-IT"/>
        </w:rPr>
      </w:pPr>
      <w:r w:rsidRPr="0044202D">
        <w:rPr>
          <w:sz w:val="21"/>
          <w:szCs w:val="21"/>
          <w:lang w:val="it-IT"/>
        </w:rPr>
        <w:t>i) Për lëndë  radioaktive të kapsuluar ose jo në formë pudre siç specifikohet në performancën e paketimit.</w:t>
      </w:r>
    </w:p>
    <w:p w:rsidR="004B34DF" w:rsidRPr="0044202D" w:rsidRDefault="004B34DF" w:rsidP="004B34DF">
      <w:pPr>
        <w:pStyle w:val="Paragrafi0"/>
        <w:rPr>
          <w:sz w:val="21"/>
          <w:szCs w:val="21"/>
        </w:rPr>
      </w:pPr>
      <w:r w:rsidRPr="0044202D">
        <w:rPr>
          <w:sz w:val="21"/>
          <w:szCs w:val="21"/>
        </w:rPr>
        <w:t xml:space="preserve">ii) Për lëndët radioaktive në formë të posaçme -3000A1 or 100 000A2, </w:t>
      </w:r>
    </w:p>
    <w:p w:rsidR="004B34DF" w:rsidRPr="0044202D" w:rsidRDefault="004B34DF" w:rsidP="004B34DF">
      <w:pPr>
        <w:pStyle w:val="Paragrafi0"/>
        <w:rPr>
          <w:sz w:val="21"/>
          <w:szCs w:val="21"/>
        </w:rPr>
      </w:pPr>
      <w:r w:rsidRPr="0044202D">
        <w:rPr>
          <w:sz w:val="21"/>
          <w:szCs w:val="21"/>
        </w:rPr>
        <w:t>iii) Për të gjithë të tjerët — 3000A2.</w:t>
      </w:r>
    </w:p>
    <w:p w:rsidR="004B34DF" w:rsidRPr="0044202D" w:rsidRDefault="004B34DF" w:rsidP="004B34DF">
      <w:pPr>
        <w:pStyle w:val="Paragrafi0"/>
        <w:rPr>
          <w:sz w:val="21"/>
          <w:szCs w:val="21"/>
        </w:rPr>
      </w:pPr>
      <w:r w:rsidRPr="0044202D">
        <w:rPr>
          <w:sz w:val="21"/>
          <w:szCs w:val="21"/>
        </w:rPr>
        <w:t>e)  Pako të llojit C do të thotë pako që përmbajnë :</w:t>
      </w:r>
    </w:p>
    <w:p w:rsidR="004B34DF" w:rsidRPr="0044202D" w:rsidRDefault="004B34DF" w:rsidP="004B34DF">
      <w:pPr>
        <w:pStyle w:val="Paragrafi0"/>
        <w:rPr>
          <w:sz w:val="21"/>
          <w:szCs w:val="21"/>
          <w:lang w:val="it-IT"/>
        </w:rPr>
      </w:pPr>
      <w:r w:rsidRPr="0044202D">
        <w:rPr>
          <w:sz w:val="21"/>
          <w:szCs w:val="21"/>
          <w:lang w:val="it-IT"/>
        </w:rPr>
        <w:t>i) aktivitete jo më të vogla sesa ato të licencuara për performancën e paketimit;</w:t>
      </w:r>
    </w:p>
    <w:p w:rsidR="004B34DF" w:rsidRPr="0044202D" w:rsidRDefault="004B34DF" w:rsidP="004B34DF">
      <w:pPr>
        <w:pStyle w:val="Paragrafi0"/>
        <w:rPr>
          <w:sz w:val="21"/>
          <w:szCs w:val="21"/>
          <w:lang w:val="it-IT"/>
        </w:rPr>
      </w:pPr>
      <w:r w:rsidRPr="0044202D">
        <w:rPr>
          <w:sz w:val="21"/>
          <w:szCs w:val="21"/>
          <w:lang w:val="it-IT"/>
        </w:rPr>
        <w:t>ii) radiobërthama të njëjta me ato të autorizuara për performancën e paketimit;</w:t>
      </w:r>
    </w:p>
    <w:p w:rsidR="004B34DF" w:rsidRPr="0044202D" w:rsidRDefault="004B34DF" w:rsidP="004B34DF">
      <w:pPr>
        <w:pStyle w:val="Paragrafi0"/>
        <w:rPr>
          <w:sz w:val="21"/>
          <w:szCs w:val="21"/>
          <w:lang w:val="it-IT"/>
        </w:rPr>
      </w:pPr>
      <w:r w:rsidRPr="0044202D">
        <w:rPr>
          <w:sz w:val="21"/>
          <w:szCs w:val="21"/>
          <w:lang w:val="it-IT"/>
        </w:rPr>
        <w:t>iii) përbërje kimike dhe fizike të njëjtë me ato të licencuara për performancën e paketimit.</w:t>
      </w:r>
    </w:p>
    <w:p w:rsidR="004B34DF" w:rsidRPr="0044202D" w:rsidRDefault="004B34DF" w:rsidP="004B34DF">
      <w:pPr>
        <w:pStyle w:val="Paragrafi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6</w:t>
      </w:r>
    </w:p>
    <w:p w:rsidR="004B34DF" w:rsidRPr="004B34DF" w:rsidRDefault="004B34DF" w:rsidP="004B34DF">
      <w:pPr>
        <w:pStyle w:val="NeniTitull"/>
        <w:keepNext w:val="0"/>
        <w:rPr>
          <w:sz w:val="21"/>
          <w:szCs w:val="21"/>
          <w:lang w:val="it-IT"/>
        </w:rPr>
      </w:pPr>
      <w:r w:rsidRPr="004B34DF">
        <w:rPr>
          <w:sz w:val="21"/>
          <w:szCs w:val="21"/>
          <w:lang w:val="it-IT"/>
        </w:rPr>
        <w:t>Nivelet kufi të kontaminimit</w:t>
      </w:r>
    </w:p>
    <w:p w:rsidR="004B34DF" w:rsidRPr="0044202D" w:rsidRDefault="004B34DF" w:rsidP="004B34DF">
      <w:pPr>
        <w:pStyle w:val="Paragrafi0"/>
        <w:rPr>
          <w:sz w:val="21"/>
          <w:szCs w:val="21"/>
          <w:lang w:val="it-IT"/>
        </w:rPr>
      </w:pPr>
    </w:p>
    <w:p w:rsidR="004B34DF" w:rsidRPr="0044202D" w:rsidRDefault="004B34DF" w:rsidP="004B34DF">
      <w:pPr>
        <w:pStyle w:val="Paragrafi0"/>
        <w:rPr>
          <w:sz w:val="21"/>
          <w:szCs w:val="21"/>
          <w:lang w:val="it-IT"/>
        </w:rPr>
      </w:pPr>
      <w:r w:rsidRPr="0044202D">
        <w:rPr>
          <w:sz w:val="21"/>
          <w:szCs w:val="21"/>
          <w:lang w:val="it-IT"/>
        </w:rPr>
        <w:t>1. Kontaminimi që nuk fiksohet (lehtësisht të pastrueshme) në sipërfaqen e jashtme të pakos, nuk duhet të kalojë kufijtë e mëposhtëm:</w:t>
      </w:r>
    </w:p>
    <w:p w:rsidR="004B34DF" w:rsidRPr="0044202D" w:rsidRDefault="004B34DF" w:rsidP="004B34DF">
      <w:pPr>
        <w:pStyle w:val="Paragrafi0"/>
        <w:rPr>
          <w:sz w:val="21"/>
          <w:szCs w:val="21"/>
          <w:lang w:val="it-IT"/>
        </w:rPr>
      </w:pPr>
      <w:r w:rsidRPr="0044202D">
        <w:rPr>
          <w:sz w:val="21"/>
          <w:szCs w:val="21"/>
          <w:lang w:val="it-IT"/>
        </w:rPr>
        <w:t>a) emetuesit beta, gama dhe alfa me toksicitet të ulët 4 Bq/cm</w:t>
      </w:r>
      <w:r w:rsidRPr="0044202D">
        <w:rPr>
          <w:sz w:val="21"/>
          <w:szCs w:val="21"/>
          <w:vertAlign w:val="superscript"/>
          <w:lang w:val="it-IT"/>
        </w:rPr>
        <w:t>2</w:t>
      </w:r>
      <w:r w:rsidRPr="0044202D">
        <w:rPr>
          <w:sz w:val="21"/>
          <w:szCs w:val="21"/>
          <w:lang w:val="it-IT"/>
        </w:rPr>
        <w:t>;</w:t>
      </w:r>
    </w:p>
    <w:p w:rsidR="004B34DF" w:rsidRPr="0044202D" w:rsidRDefault="004B34DF" w:rsidP="004B34DF">
      <w:pPr>
        <w:pStyle w:val="Paragrafi0"/>
        <w:rPr>
          <w:sz w:val="21"/>
          <w:szCs w:val="21"/>
          <w:lang w:val="it-IT"/>
        </w:rPr>
      </w:pPr>
      <w:r w:rsidRPr="0044202D">
        <w:rPr>
          <w:sz w:val="21"/>
          <w:szCs w:val="21"/>
          <w:lang w:val="it-IT"/>
        </w:rPr>
        <w:t>b) të gjithë emetuesit e tjerë alfa 0.4 Bq/cm</w:t>
      </w:r>
      <w:r w:rsidRPr="0044202D">
        <w:rPr>
          <w:sz w:val="21"/>
          <w:szCs w:val="21"/>
          <w:vertAlign w:val="superscript"/>
          <w:lang w:val="it-IT"/>
        </w:rPr>
        <w:t>2</w:t>
      </w:r>
      <w:r w:rsidRPr="0044202D">
        <w:rPr>
          <w:sz w:val="21"/>
          <w:szCs w:val="21"/>
          <w:lang w:val="it-IT"/>
        </w:rPr>
        <w:t>.</w:t>
      </w:r>
    </w:p>
    <w:p w:rsidR="004B34DF" w:rsidRPr="0044202D" w:rsidRDefault="004B34DF" w:rsidP="004B34DF">
      <w:pPr>
        <w:pStyle w:val="Paragrafi0"/>
        <w:rPr>
          <w:sz w:val="21"/>
          <w:szCs w:val="21"/>
          <w:lang w:val="it-IT"/>
        </w:rPr>
      </w:pPr>
      <w:r w:rsidRPr="003F1443">
        <w:rPr>
          <w:sz w:val="21"/>
          <w:szCs w:val="21"/>
          <w:lang w:val="it-IT"/>
        </w:rPr>
        <w:t>2. Këto nivele kufi janë të zbatueshme  për  zona të mesatarizuara me sipërfaqe prej 300 cm</w:t>
      </w:r>
      <w:r w:rsidRPr="003F1443">
        <w:rPr>
          <w:sz w:val="21"/>
          <w:szCs w:val="21"/>
          <w:vertAlign w:val="superscript"/>
          <w:lang w:val="it-IT"/>
        </w:rPr>
        <w:t>2</w:t>
      </w:r>
      <w:r w:rsidRPr="003F1443">
        <w:rPr>
          <w:sz w:val="21"/>
          <w:szCs w:val="21"/>
          <w:lang w:val="it-IT"/>
        </w:rPr>
        <w:t xml:space="preserve"> për çdo pjesë të sipërfaqes. </w:t>
      </w:r>
      <w:r w:rsidRPr="0044202D">
        <w:rPr>
          <w:sz w:val="21"/>
          <w:szCs w:val="21"/>
          <w:lang w:val="it-IT"/>
        </w:rPr>
        <w:t xml:space="preserve">Në rastin kur në sipërfaqe të pakos zbulohen kontaminime me nivele me të larta se ato të treguara me sipër, transporti i pakos pezullohet deri në marrjen e masave për uljen e tyre deri në nivelet e treguara më sipër. Vlerësimi për kontaminimin duhet të përfshijë pakon, mjetin e transportit, si  dhe zonat përreth tyre. </w:t>
      </w:r>
    </w:p>
    <w:p w:rsidR="004B34DF" w:rsidRPr="0044202D" w:rsidRDefault="004B34DF" w:rsidP="004B34DF">
      <w:pPr>
        <w:pStyle w:val="Paragrafi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7</w:t>
      </w:r>
    </w:p>
    <w:p w:rsidR="004B34DF" w:rsidRPr="004B34DF" w:rsidRDefault="004B34DF" w:rsidP="004B34DF">
      <w:pPr>
        <w:pStyle w:val="NeniTitull"/>
        <w:keepNext w:val="0"/>
        <w:rPr>
          <w:sz w:val="21"/>
          <w:szCs w:val="21"/>
          <w:lang w:val="it-IT"/>
        </w:rPr>
      </w:pPr>
      <w:r w:rsidRPr="004B34DF">
        <w:rPr>
          <w:sz w:val="21"/>
          <w:szCs w:val="21"/>
          <w:lang w:val="it-IT"/>
        </w:rPr>
        <w:t>Nivelet kufi të rrezatimit gjatë transportit</w:t>
      </w:r>
    </w:p>
    <w:p w:rsidR="004B34DF" w:rsidRPr="004B34DF" w:rsidRDefault="004B34DF" w:rsidP="004B34DF">
      <w:pPr>
        <w:pStyle w:val="NeniTitull"/>
        <w:keepNext w:val="0"/>
        <w:rPr>
          <w:sz w:val="21"/>
          <w:szCs w:val="21"/>
          <w:lang w:val="it-IT"/>
        </w:rPr>
      </w:pPr>
    </w:p>
    <w:p w:rsidR="004B34DF" w:rsidRPr="004B34DF" w:rsidRDefault="004B34DF" w:rsidP="004B34DF">
      <w:pPr>
        <w:pStyle w:val="Paragrafi0"/>
        <w:rPr>
          <w:sz w:val="21"/>
          <w:szCs w:val="21"/>
          <w:lang w:val="it-IT"/>
        </w:rPr>
      </w:pPr>
      <w:r w:rsidRPr="004B34DF">
        <w:rPr>
          <w:sz w:val="21"/>
          <w:szCs w:val="21"/>
          <w:lang w:val="it-IT"/>
        </w:rPr>
        <w:t>1. Për të gjitha pakot dhe mjetet e transportit zbatohen nivelet kufi të rrezatimeve si më poshtë:</w:t>
      </w:r>
    </w:p>
    <w:p w:rsidR="004B34DF" w:rsidRPr="004B34DF" w:rsidRDefault="004B34DF" w:rsidP="004B34DF">
      <w:pPr>
        <w:pStyle w:val="Paragrafi0"/>
        <w:rPr>
          <w:sz w:val="21"/>
          <w:szCs w:val="21"/>
          <w:lang w:val="it-IT"/>
        </w:rPr>
      </w:pPr>
      <w:r w:rsidRPr="004B34DF">
        <w:rPr>
          <w:sz w:val="21"/>
          <w:szCs w:val="21"/>
          <w:lang w:val="it-IT"/>
        </w:rPr>
        <w:t xml:space="preserve">a) Niveli i rrezatimit për pakot e përjashtuara nuk duhet të kalojë  5 </w:t>
      </w:r>
      <w:r w:rsidRPr="0044202D">
        <w:rPr>
          <w:sz w:val="21"/>
          <w:szCs w:val="21"/>
        </w:rPr>
        <w:sym w:font="Symbol" w:char="F06D"/>
      </w:r>
      <w:r w:rsidRPr="004B34DF">
        <w:rPr>
          <w:sz w:val="21"/>
          <w:szCs w:val="21"/>
          <w:lang w:val="it-IT"/>
        </w:rPr>
        <w:t>Sv/orë  në sipërfaqen e  pakos.</w:t>
      </w:r>
    </w:p>
    <w:p w:rsidR="004B34DF" w:rsidRPr="004B34DF" w:rsidRDefault="004B34DF" w:rsidP="004B34DF">
      <w:pPr>
        <w:pStyle w:val="Paragrafi0"/>
        <w:rPr>
          <w:sz w:val="21"/>
          <w:szCs w:val="21"/>
          <w:lang w:val="it-IT"/>
        </w:rPr>
      </w:pPr>
      <w:r w:rsidRPr="004B34DF">
        <w:rPr>
          <w:sz w:val="21"/>
          <w:szCs w:val="21"/>
          <w:lang w:val="it-IT"/>
        </w:rPr>
        <w:t>b) Niveli i rrezatimit për pakot e llojit A, të llojit B(U) dhe B(M),  nuk duhet të kalojë 2 mSv/ore në çdo pikë të sipërfaqes së jashtme të pakos.</w:t>
      </w: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r w:rsidRPr="004B34DF">
        <w:rPr>
          <w:sz w:val="21"/>
          <w:szCs w:val="21"/>
          <w:lang w:val="it-IT"/>
        </w:rPr>
        <w:t>c) Niveli i rrezatimit për pakot e vendosura në një mjet të vetëm duhet të jetë i tillë që  në kushtet e një transporti të zakonshëm të mos  kalojë 2 mSv/orë në çdo pikë të sipërfaqes së jashtme të mjetit dhe 0.1 mSv/orë në distancën 2 m nga sipërfaqja e jashtme e mjetit.</w:t>
      </w:r>
    </w:p>
    <w:p w:rsidR="004B34DF" w:rsidRPr="004B34DF" w:rsidRDefault="004B34DF" w:rsidP="004B34DF">
      <w:pPr>
        <w:pStyle w:val="Paragrafi0"/>
        <w:rPr>
          <w:sz w:val="21"/>
          <w:szCs w:val="21"/>
          <w:lang w:val="it-IT"/>
        </w:rPr>
      </w:pPr>
      <w:r w:rsidRPr="004B34DF">
        <w:rPr>
          <w:sz w:val="21"/>
          <w:szCs w:val="21"/>
          <w:lang w:val="it-IT"/>
        </w:rPr>
        <w:t xml:space="preserve">d) Paketimet bosh, të cilat kanë transportuar më parë lëndë radioaktive mund të transportohen si pako të përjashtuara. </w:t>
      </w:r>
    </w:p>
    <w:p w:rsidR="004B34DF" w:rsidRPr="004B34DF" w:rsidRDefault="004B34DF" w:rsidP="004B34DF">
      <w:pPr>
        <w:pStyle w:val="Paragrafi0"/>
        <w:ind w:firstLine="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8</w:t>
      </w:r>
    </w:p>
    <w:p w:rsidR="004B34DF" w:rsidRPr="004B34DF" w:rsidRDefault="004B34DF" w:rsidP="004B34DF">
      <w:pPr>
        <w:pStyle w:val="NeniTitull"/>
        <w:keepNext w:val="0"/>
        <w:rPr>
          <w:sz w:val="21"/>
          <w:szCs w:val="21"/>
          <w:lang w:val="it-IT"/>
        </w:rPr>
      </w:pPr>
      <w:r w:rsidRPr="004B34DF">
        <w:rPr>
          <w:sz w:val="21"/>
          <w:szCs w:val="21"/>
          <w:lang w:val="it-IT"/>
        </w:rPr>
        <w:t>Kategoritë e transportit</w:t>
      </w: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r w:rsidRPr="004B34DF">
        <w:rPr>
          <w:sz w:val="21"/>
          <w:szCs w:val="21"/>
          <w:lang w:val="it-IT"/>
        </w:rPr>
        <w:t>1. Çdo pako, përveç pakove të përjashtuara, duhet të përfshihet në njërën nga kategoritë e  mëposhtme, duke mbajtur parasysh nivelin e rrezatimit në sipërfaqe të pakos si dhe indeksin e transportit:</w:t>
      </w:r>
    </w:p>
    <w:p w:rsidR="004B34DF" w:rsidRPr="004B34DF" w:rsidRDefault="004B34DF" w:rsidP="004B34DF">
      <w:pPr>
        <w:pStyle w:val="Paragrafi0"/>
        <w:rPr>
          <w:sz w:val="21"/>
          <w:szCs w:val="21"/>
          <w:lang w:val="it-IT"/>
        </w:rPr>
      </w:pPr>
      <w:r w:rsidRPr="004B34DF">
        <w:rPr>
          <w:sz w:val="21"/>
          <w:szCs w:val="21"/>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3870"/>
        <w:gridCol w:w="2898"/>
      </w:tblGrid>
      <w:tr w:rsidR="004B34DF" w:rsidRPr="0044202D" w:rsidTr="004B34DF">
        <w:tblPrEx>
          <w:tblCellMar>
            <w:top w:w="0" w:type="dxa"/>
            <w:bottom w:w="0" w:type="dxa"/>
          </w:tblCellMar>
        </w:tblPrEx>
        <w:tc>
          <w:tcPr>
            <w:tcW w:w="2808" w:type="dxa"/>
          </w:tcPr>
          <w:p w:rsidR="004B34DF" w:rsidRPr="0044202D" w:rsidRDefault="004B34DF" w:rsidP="004B34DF">
            <w:pPr>
              <w:pStyle w:val="Tabele"/>
              <w:widowControl w:val="0"/>
              <w:rPr>
                <w:sz w:val="21"/>
                <w:szCs w:val="21"/>
              </w:rPr>
            </w:pPr>
            <w:r w:rsidRPr="004B34DF">
              <w:rPr>
                <w:sz w:val="21"/>
                <w:szCs w:val="21"/>
                <w:lang w:val="it-IT"/>
              </w:rPr>
              <w:t xml:space="preserve">   </w:t>
            </w:r>
            <w:r w:rsidRPr="0044202D">
              <w:rPr>
                <w:sz w:val="21"/>
                <w:szCs w:val="21"/>
              </w:rPr>
              <w:t>Kategoria e transportit</w:t>
            </w:r>
          </w:p>
        </w:tc>
        <w:tc>
          <w:tcPr>
            <w:tcW w:w="3870" w:type="dxa"/>
          </w:tcPr>
          <w:p w:rsidR="004B34DF" w:rsidRPr="0044202D" w:rsidRDefault="004B34DF" w:rsidP="004B34DF">
            <w:pPr>
              <w:pStyle w:val="Tabele"/>
              <w:widowControl w:val="0"/>
              <w:rPr>
                <w:sz w:val="21"/>
                <w:szCs w:val="21"/>
              </w:rPr>
            </w:pPr>
            <w:r w:rsidRPr="0044202D">
              <w:rPr>
                <w:sz w:val="21"/>
                <w:szCs w:val="21"/>
              </w:rPr>
              <w:t>Niveli më i lartë i rrezatimit në sipërfaqen e jashtme të paketimit</w:t>
            </w:r>
          </w:p>
        </w:tc>
        <w:tc>
          <w:tcPr>
            <w:tcW w:w="2898" w:type="dxa"/>
          </w:tcPr>
          <w:p w:rsidR="004B34DF" w:rsidRPr="0044202D" w:rsidRDefault="004B34DF" w:rsidP="004B34DF">
            <w:pPr>
              <w:pStyle w:val="Tabele"/>
              <w:widowControl w:val="0"/>
              <w:rPr>
                <w:sz w:val="21"/>
                <w:szCs w:val="21"/>
              </w:rPr>
            </w:pPr>
            <w:r w:rsidRPr="0044202D">
              <w:rPr>
                <w:sz w:val="21"/>
                <w:szCs w:val="21"/>
              </w:rPr>
              <w:t>Indeksi i transportit</w:t>
            </w:r>
          </w:p>
        </w:tc>
      </w:tr>
      <w:tr w:rsidR="004B34DF" w:rsidRPr="0044202D" w:rsidTr="004B34DF">
        <w:tblPrEx>
          <w:tblCellMar>
            <w:top w:w="0" w:type="dxa"/>
            <w:bottom w:w="0" w:type="dxa"/>
          </w:tblCellMar>
        </w:tblPrEx>
        <w:tc>
          <w:tcPr>
            <w:tcW w:w="2808" w:type="dxa"/>
          </w:tcPr>
          <w:p w:rsidR="004B34DF" w:rsidRPr="0044202D" w:rsidRDefault="004B34DF" w:rsidP="004B34DF">
            <w:pPr>
              <w:pStyle w:val="Tabele"/>
              <w:widowControl w:val="0"/>
              <w:rPr>
                <w:sz w:val="21"/>
                <w:szCs w:val="21"/>
              </w:rPr>
            </w:pPr>
            <w:r w:rsidRPr="0044202D">
              <w:rPr>
                <w:sz w:val="21"/>
                <w:szCs w:val="21"/>
              </w:rPr>
              <w:t xml:space="preserve">       I – </w:t>
            </w:r>
            <w:smartTag w:uri="urn:schemas-microsoft-com:office:smarttags" w:element="place">
              <w:r w:rsidRPr="0044202D">
                <w:rPr>
                  <w:sz w:val="21"/>
                  <w:szCs w:val="21"/>
                </w:rPr>
                <w:t>E BARDHË</w:t>
              </w:r>
            </w:smartTag>
          </w:p>
        </w:tc>
        <w:tc>
          <w:tcPr>
            <w:tcW w:w="3870" w:type="dxa"/>
          </w:tcPr>
          <w:p w:rsidR="004B34DF" w:rsidRPr="0044202D" w:rsidRDefault="004B34DF" w:rsidP="004B34DF">
            <w:pPr>
              <w:pStyle w:val="Tabele"/>
              <w:widowControl w:val="0"/>
              <w:rPr>
                <w:sz w:val="21"/>
                <w:szCs w:val="21"/>
              </w:rPr>
            </w:pPr>
            <w:r w:rsidRPr="0044202D">
              <w:rPr>
                <w:sz w:val="21"/>
                <w:szCs w:val="21"/>
              </w:rPr>
              <w:t>Deri në 0.005mSv/h</w:t>
            </w:r>
          </w:p>
        </w:tc>
        <w:tc>
          <w:tcPr>
            <w:tcW w:w="2898" w:type="dxa"/>
          </w:tcPr>
          <w:p w:rsidR="004B34DF" w:rsidRPr="0044202D" w:rsidRDefault="004B34DF" w:rsidP="004B34DF">
            <w:pPr>
              <w:pStyle w:val="Tabele"/>
              <w:widowControl w:val="0"/>
              <w:rPr>
                <w:sz w:val="21"/>
                <w:szCs w:val="21"/>
              </w:rPr>
            </w:pPr>
            <w:r w:rsidRPr="0044202D">
              <w:rPr>
                <w:sz w:val="21"/>
                <w:szCs w:val="21"/>
              </w:rPr>
              <w:t>0</w:t>
            </w:r>
          </w:p>
        </w:tc>
      </w:tr>
      <w:tr w:rsidR="004B34DF" w:rsidRPr="0044202D" w:rsidTr="004B34DF">
        <w:tblPrEx>
          <w:tblCellMar>
            <w:top w:w="0" w:type="dxa"/>
            <w:bottom w:w="0" w:type="dxa"/>
          </w:tblCellMar>
        </w:tblPrEx>
        <w:tc>
          <w:tcPr>
            <w:tcW w:w="2808" w:type="dxa"/>
          </w:tcPr>
          <w:p w:rsidR="004B34DF" w:rsidRPr="0044202D" w:rsidRDefault="004B34DF" w:rsidP="004B34DF">
            <w:pPr>
              <w:pStyle w:val="Tabele"/>
              <w:widowControl w:val="0"/>
              <w:rPr>
                <w:sz w:val="21"/>
                <w:szCs w:val="21"/>
              </w:rPr>
            </w:pPr>
            <w:r w:rsidRPr="0044202D">
              <w:rPr>
                <w:sz w:val="21"/>
                <w:szCs w:val="21"/>
              </w:rPr>
              <w:t xml:space="preserve">      II – </w:t>
            </w:r>
            <w:smartTag w:uri="urn:schemas-microsoft-com:office:smarttags" w:element="place">
              <w:r w:rsidRPr="0044202D">
                <w:rPr>
                  <w:sz w:val="21"/>
                  <w:szCs w:val="21"/>
                </w:rPr>
                <w:t>E VERDHË</w:t>
              </w:r>
            </w:smartTag>
          </w:p>
        </w:tc>
        <w:tc>
          <w:tcPr>
            <w:tcW w:w="3870" w:type="dxa"/>
          </w:tcPr>
          <w:p w:rsidR="004B34DF" w:rsidRPr="0044202D" w:rsidRDefault="004B34DF" w:rsidP="004B34DF">
            <w:pPr>
              <w:pStyle w:val="Tabele"/>
              <w:widowControl w:val="0"/>
              <w:rPr>
                <w:sz w:val="21"/>
                <w:szCs w:val="21"/>
                <w:lang w:val="it-IT"/>
              </w:rPr>
            </w:pPr>
            <w:r w:rsidRPr="0044202D">
              <w:rPr>
                <w:sz w:val="21"/>
                <w:szCs w:val="21"/>
                <w:lang w:val="it-IT"/>
              </w:rPr>
              <w:t>Nga 0.005mSv/h deri 0.5mSv/h</w:t>
            </w:r>
          </w:p>
        </w:tc>
        <w:tc>
          <w:tcPr>
            <w:tcW w:w="2898" w:type="dxa"/>
          </w:tcPr>
          <w:p w:rsidR="004B34DF" w:rsidRPr="0044202D" w:rsidRDefault="004B34DF" w:rsidP="004B34DF">
            <w:pPr>
              <w:pStyle w:val="Tabele"/>
              <w:widowControl w:val="0"/>
              <w:rPr>
                <w:sz w:val="21"/>
                <w:szCs w:val="21"/>
              </w:rPr>
            </w:pPr>
            <w:r w:rsidRPr="0044202D">
              <w:rPr>
                <w:sz w:val="21"/>
                <w:szCs w:val="21"/>
              </w:rPr>
              <w:t>0 deri 1</w:t>
            </w:r>
          </w:p>
        </w:tc>
      </w:tr>
      <w:tr w:rsidR="004B34DF" w:rsidRPr="0044202D" w:rsidTr="004B34DF">
        <w:tblPrEx>
          <w:tblCellMar>
            <w:top w:w="0" w:type="dxa"/>
            <w:bottom w:w="0" w:type="dxa"/>
          </w:tblCellMar>
        </w:tblPrEx>
        <w:tc>
          <w:tcPr>
            <w:tcW w:w="2808" w:type="dxa"/>
          </w:tcPr>
          <w:p w:rsidR="004B34DF" w:rsidRPr="0044202D" w:rsidRDefault="004B34DF" w:rsidP="004B34DF">
            <w:pPr>
              <w:pStyle w:val="Tabele"/>
              <w:widowControl w:val="0"/>
              <w:rPr>
                <w:sz w:val="21"/>
                <w:szCs w:val="21"/>
              </w:rPr>
            </w:pPr>
            <w:r w:rsidRPr="0044202D">
              <w:rPr>
                <w:sz w:val="21"/>
                <w:szCs w:val="21"/>
              </w:rPr>
              <w:t xml:space="preserve">     III – </w:t>
            </w:r>
            <w:smartTag w:uri="urn:schemas-microsoft-com:office:smarttags" w:element="place">
              <w:r w:rsidRPr="0044202D">
                <w:rPr>
                  <w:sz w:val="21"/>
                  <w:szCs w:val="21"/>
                </w:rPr>
                <w:t>E VERDHË</w:t>
              </w:r>
            </w:smartTag>
          </w:p>
        </w:tc>
        <w:tc>
          <w:tcPr>
            <w:tcW w:w="3870" w:type="dxa"/>
          </w:tcPr>
          <w:p w:rsidR="004B34DF" w:rsidRPr="0044202D" w:rsidRDefault="004B34DF" w:rsidP="004B34DF">
            <w:pPr>
              <w:pStyle w:val="Tabele"/>
              <w:widowControl w:val="0"/>
              <w:rPr>
                <w:sz w:val="21"/>
                <w:szCs w:val="21"/>
                <w:lang w:val="it-IT"/>
              </w:rPr>
            </w:pPr>
            <w:r w:rsidRPr="0044202D">
              <w:rPr>
                <w:sz w:val="21"/>
                <w:szCs w:val="21"/>
                <w:lang w:val="it-IT"/>
              </w:rPr>
              <w:t>Nga 0.5mSv/h deri 2mSv/h</w:t>
            </w:r>
          </w:p>
        </w:tc>
        <w:tc>
          <w:tcPr>
            <w:tcW w:w="2898" w:type="dxa"/>
          </w:tcPr>
          <w:p w:rsidR="004B34DF" w:rsidRPr="0044202D" w:rsidRDefault="004B34DF" w:rsidP="004B34DF">
            <w:pPr>
              <w:pStyle w:val="Tabele"/>
              <w:widowControl w:val="0"/>
              <w:rPr>
                <w:sz w:val="21"/>
                <w:szCs w:val="21"/>
              </w:rPr>
            </w:pPr>
            <w:r w:rsidRPr="0044202D">
              <w:rPr>
                <w:sz w:val="21"/>
                <w:szCs w:val="21"/>
                <w:lang w:val="it-IT"/>
              </w:rPr>
              <w:t xml:space="preserve"> </w:t>
            </w:r>
            <w:r w:rsidRPr="0044202D">
              <w:rPr>
                <w:sz w:val="21"/>
                <w:szCs w:val="21"/>
              </w:rPr>
              <w:t>1 deri 10</w:t>
            </w:r>
          </w:p>
        </w:tc>
      </w:tr>
      <w:tr w:rsidR="004B34DF" w:rsidRPr="0044202D" w:rsidTr="004B34DF">
        <w:tblPrEx>
          <w:tblCellMar>
            <w:top w:w="0" w:type="dxa"/>
            <w:bottom w:w="0" w:type="dxa"/>
          </w:tblCellMar>
        </w:tblPrEx>
        <w:tc>
          <w:tcPr>
            <w:tcW w:w="2808" w:type="dxa"/>
          </w:tcPr>
          <w:p w:rsidR="004B34DF" w:rsidRPr="0044202D" w:rsidRDefault="004B34DF" w:rsidP="004B34DF">
            <w:pPr>
              <w:pStyle w:val="Tabele"/>
              <w:widowControl w:val="0"/>
              <w:rPr>
                <w:sz w:val="21"/>
                <w:szCs w:val="21"/>
              </w:rPr>
            </w:pPr>
            <w:r w:rsidRPr="0044202D">
              <w:rPr>
                <w:sz w:val="21"/>
                <w:szCs w:val="21"/>
              </w:rPr>
              <w:t xml:space="preserve">      III – </w:t>
            </w:r>
            <w:smartTag w:uri="urn:schemas-microsoft-com:office:smarttags" w:element="place">
              <w:r w:rsidRPr="0044202D">
                <w:rPr>
                  <w:sz w:val="21"/>
                  <w:szCs w:val="21"/>
                </w:rPr>
                <w:t>E VERDHË</w:t>
              </w:r>
            </w:smartTag>
          </w:p>
        </w:tc>
        <w:tc>
          <w:tcPr>
            <w:tcW w:w="3870" w:type="dxa"/>
          </w:tcPr>
          <w:p w:rsidR="004B34DF" w:rsidRPr="0044202D" w:rsidRDefault="004B34DF" w:rsidP="004B34DF">
            <w:pPr>
              <w:pStyle w:val="Tabele"/>
              <w:widowControl w:val="0"/>
              <w:rPr>
                <w:sz w:val="21"/>
                <w:szCs w:val="21"/>
                <w:lang w:val="it-IT"/>
              </w:rPr>
            </w:pPr>
            <w:r w:rsidRPr="0044202D">
              <w:rPr>
                <w:sz w:val="21"/>
                <w:szCs w:val="21"/>
                <w:lang w:val="it-IT"/>
              </w:rPr>
              <w:t>Nga 2 mSv/h deri 10mSv/h</w:t>
            </w:r>
          </w:p>
          <w:p w:rsidR="004B34DF" w:rsidRPr="0044202D" w:rsidRDefault="004B34DF" w:rsidP="004B34DF">
            <w:pPr>
              <w:pStyle w:val="Tabele"/>
              <w:widowControl w:val="0"/>
              <w:rPr>
                <w:sz w:val="21"/>
                <w:szCs w:val="21"/>
                <w:lang w:val="it-IT"/>
              </w:rPr>
            </w:pPr>
            <w:r w:rsidRPr="0044202D">
              <w:rPr>
                <w:sz w:val="21"/>
                <w:szCs w:val="21"/>
                <w:lang w:val="it-IT"/>
              </w:rPr>
              <w:t>Në kushte të veçanta të miratuara nga ZMR</w:t>
            </w:r>
          </w:p>
        </w:tc>
        <w:tc>
          <w:tcPr>
            <w:tcW w:w="2898" w:type="dxa"/>
          </w:tcPr>
          <w:p w:rsidR="004B34DF" w:rsidRPr="0044202D" w:rsidRDefault="004B34DF" w:rsidP="004B34DF">
            <w:pPr>
              <w:pStyle w:val="Tabele"/>
              <w:widowControl w:val="0"/>
              <w:rPr>
                <w:sz w:val="21"/>
                <w:szCs w:val="21"/>
              </w:rPr>
            </w:pPr>
            <w:r w:rsidRPr="0044202D">
              <w:rPr>
                <w:sz w:val="21"/>
                <w:szCs w:val="21"/>
              </w:rPr>
              <w:t>Më shumë se 10</w:t>
            </w:r>
          </w:p>
        </w:tc>
      </w:tr>
    </w:tbl>
    <w:p w:rsidR="004B34DF" w:rsidRPr="0044202D" w:rsidRDefault="004B34DF" w:rsidP="004B34DF">
      <w:pPr>
        <w:pStyle w:val="Paragrafi0"/>
        <w:rPr>
          <w:sz w:val="21"/>
          <w:szCs w:val="21"/>
        </w:rPr>
      </w:pPr>
    </w:p>
    <w:p w:rsidR="004B34DF" w:rsidRPr="0044202D" w:rsidRDefault="004B34DF" w:rsidP="004B34DF">
      <w:pPr>
        <w:pStyle w:val="Paragrafi0"/>
        <w:rPr>
          <w:sz w:val="21"/>
          <w:szCs w:val="21"/>
        </w:rPr>
      </w:pPr>
      <w:r w:rsidRPr="0044202D">
        <w:rPr>
          <w:sz w:val="21"/>
          <w:szCs w:val="21"/>
        </w:rPr>
        <w:t>2. Indeksi i transportit i një paketimi është vlera e nivelit të rrezatimit (fuqia e dozës) në mSv/orë në distancën 1 m nga sipërfaqja e jashtme e tij e shumëzuar me 100.</w:t>
      </w:r>
    </w:p>
    <w:p w:rsidR="004B34DF" w:rsidRPr="0044202D" w:rsidRDefault="004B34DF" w:rsidP="004B34DF">
      <w:pPr>
        <w:pStyle w:val="Paragrafi0"/>
        <w:rPr>
          <w:sz w:val="21"/>
          <w:szCs w:val="21"/>
        </w:rPr>
      </w:pPr>
    </w:p>
    <w:p w:rsidR="004B34DF" w:rsidRPr="0044202D" w:rsidRDefault="004B34DF" w:rsidP="004B34DF">
      <w:pPr>
        <w:pStyle w:val="NeniNr"/>
        <w:keepNext w:val="0"/>
        <w:rPr>
          <w:sz w:val="21"/>
          <w:szCs w:val="21"/>
        </w:rPr>
      </w:pPr>
      <w:r w:rsidRPr="0044202D">
        <w:rPr>
          <w:sz w:val="21"/>
          <w:szCs w:val="21"/>
        </w:rPr>
        <w:t>Neni 9</w:t>
      </w:r>
    </w:p>
    <w:p w:rsidR="004B34DF" w:rsidRPr="0044202D" w:rsidRDefault="004B34DF" w:rsidP="004B34DF">
      <w:pPr>
        <w:pStyle w:val="NeniTitull"/>
        <w:keepNext w:val="0"/>
        <w:rPr>
          <w:sz w:val="21"/>
          <w:szCs w:val="21"/>
        </w:rPr>
      </w:pPr>
      <w:r w:rsidRPr="0044202D">
        <w:rPr>
          <w:sz w:val="21"/>
          <w:szCs w:val="21"/>
        </w:rPr>
        <w:t>Etiketa e pakos</w:t>
      </w:r>
    </w:p>
    <w:p w:rsidR="004B34DF" w:rsidRPr="0044202D" w:rsidRDefault="004B34DF" w:rsidP="004B34DF">
      <w:pPr>
        <w:pStyle w:val="Paragrafi0"/>
        <w:rPr>
          <w:sz w:val="21"/>
          <w:szCs w:val="21"/>
        </w:rPr>
      </w:pPr>
    </w:p>
    <w:p w:rsidR="004B34DF" w:rsidRPr="0044202D" w:rsidRDefault="004B34DF" w:rsidP="004B34DF">
      <w:pPr>
        <w:pStyle w:val="Paragrafi0"/>
        <w:rPr>
          <w:sz w:val="21"/>
          <w:szCs w:val="21"/>
        </w:rPr>
      </w:pPr>
      <w:r w:rsidRPr="0044202D">
        <w:rPr>
          <w:sz w:val="21"/>
          <w:szCs w:val="21"/>
        </w:rPr>
        <w:t>1. Çdo pako, përveç pakove të përjashtuara, duhet të këtë një etiketë, në përputhje me modelet e treguara në tabelën III</w:t>
      </w:r>
      <w:r>
        <w:rPr>
          <w:sz w:val="21"/>
          <w:szCs w:val="21"/>
        </w:rPr>
        <w:t>,</w:t>
      </w:r>
      <w:r w:rsidRPr="0044202D">
        <w:rPr>
          <w:sz w:val="21"/>
          <w:szCs w:val="21"/>
        </w:rPr>
        <w:t xml:space="preserve">  bashkëlidhur kësaj rregulloreje. Këto etiketa duhet të ngjiten në dy anët e kundërta të paketimit. </w:t>
      </w:r>
    </w:p>
    <w:p w:rsidR="004B34DF" w:rsidRPr="0044202D" w:rsidRDefault="004B34DF" w:rsidP="004B34DF">
      <w:pPr>
        <w:pStyle w:val="Paragrafi0"/>
        <w:rPr>
          <w:sz w:val="21"/>
          <w:szCs w:val="21"/>
        </w:rPr>
      </w:pPr>
      <w:r w:rsidRPr="0044202D">
        <w:rPr>
          <w:sz w:val="21"/>
          <w:szCs w:val="21"/>
        </w:rPr>
        <w:t>2. Automjetet që transportojnë lëndë radioaktive duhet të mbajnë në hyrjet ku ka akses personeli  shenjën e rrezikut radioaktiv sikurse tregohet në tabelën III.</w:t>
      </w:r>
    </w:p>
    <w:p w:rsidR="004B34DF" w:rsidRPr="0044202D" w:rsidRDefault="004B34DF" w:rsidP="004B34DF">
      <w:pPr>
        <w:pStyle w:val="Paragrafi0"/>
        <w:rPr>
          <w:sz w:val="21"/>
          <w:szCs w:val="21"/>
        </w:rPr>
      </w:pPr>
    </w:p>
    <w:p w:rsidR="004B34DF" w:rsidRPr="0044202D" w:rsidRDefault="004B34DF" w:rsidP="004B34DF">
      <w:pPr>
        <w:pStyle w:val="NeniNr"/>
        <w:keepNext w:val="0"/>
        <w:rPr>
          <w:sz w:val="21"/>
          <w:szCs w:val="21"/>
        </w:rPr>
      </w:pPr>
      <w:r w:rsidRPr="0044202D">
        <w:rPr>
          <w:sz w:val="21"/>
          <w:szCs w:val="21"/>
        </w:rPr>
        <w:t>Neni 10</w:t>
      </w:r>
    </w:p>
    <w:p w:rsidR="004B34DF" w:rsidRPr="0044202D" w:rsidRDefault="004B34DF" w:rsidP="004B34DF">
      <w:pPr>
        <w:pStyle w:val="NeniTitull"/>
        <w:keepNext w:val="0"/>
        <w:rPr>
          <w:sz w:val="21"/>
          <w:szCs w:val="21"/>
        </w:rPr>
      </w:pPr>
      <w:r w:rsidRPr="0044202D">
        <w:rPr>
          <w:sz w:val="21"/>
          <w:szCs w:val="21"/>
        </w:rPr>
        <w:t>Kushte shtesë</w:t>
      </w:r>
    </w:p>
    <w:p w:rsidR="004B34DF" w:rsidRPr="0044202D" w:rsidRDefault="004B34DF" w:rsidP="004B34DF">
      <w:pPr>
        <w:pStyle w:val="Paragrafi0"/>
        <w:rPr>
          <w:sz w:val="21"/>
          <w:szCs w:val="21"/>
          <w:lang w:val="en-GB"/>
        </w:rPr>
      </w:pPr>
    </w:p>
    <w:p w:rsidR="004B34DF" w:rsidRPr="0044202D" w:rsidRDefault="004B34DF" w:rsidP="004B34DF">
      <w:pPr>
        <w:pStyle w:val="Paragrafi0"/>
        <w:rPr>
          <w:sz w:val="21"/>
          <w:szCs w:val="21"/>
          <w:lang w:val="en-GB"/>
        </w:rPr>
      </w:pPr>
      <w:r w:rsidRPr="0044202D">
        <w:rPr>
          <w:sz w:val="21"/>
          <w:szCs w:val="21"/>
          <w:lang w:val="en-GB"/>
        </w:rPr>
        <w:t>1. Procesi i ngarkimit të pakove me lëndëve radioaktive, transportime i tyre, si dhe   shkarkimi kryhet kurdoherë  nën kontrollin e vazhdueshëm të një personi të kualifikuar për problemet e mbrojtjes nga rrezatimet.</w:t>
      </w:r>
    </w:p>
    <w:p w:rsidR="004B34DF" w:rsidRPr="0044202D" w:rsidRDefault="004B34DF" w:rsidP="004B34DF">
      <w:pPr>
        <w:pStyle w:val="Paragrafi0"/>
        <w:rPr>
          <w:sz w:val="21"/>
          <w:szCs w:val="21"/>
          <w:lang w:val="en-GB"/>
        </w:rPr>
      </w:pPr>
      <w:r w:rsidRPr="0044202D">
        <w:rPr>
          <w:sz w:val="21"/>
          <w:szCs w:val="21"/>
          <w:lang w:val="en-GB"/>
        </w:rPr>
        <w:t>2. Ndalohet kategorikisht  transportimi i paketimeve me lëndë radioaktive  së bashku me lëndë të tjera të rrezikshme ose me ushqime, filma fotografikë të pazhvilluar ose me lëndë të tjera të ndjeshme ndaj dritës.</w:t>
      </w:r>
    </w:p>
    <w:p w:rsidR="004B34DF" w:rsidRPr="0044202D" w:rsidRDefault="004B34DF" w:rsidP="004B34DF">
      <w:pPr>
        <w:pStyle w:val="Paragrafi0"/>
        <w:rPr>
          <w:sz w:val="21"/>
          <w:szCs w:val="21"/>
          <w:lang w:val="en-GB"/>
        </w:rPr>
      </w:pPr>
    </w:p>
    <w:p w:rsidR="004B34DF" w:rsidRPr="0044202D" w:rsidRDefault="004B34DF" w:rsidP="004B34DF">
      <w:pPr>
        <w:pStyle w:val="NeniNr"/>
        <w:keepNext w:val="0"/>
        <w:rPr>
          <w:sz w:val="21"/>
          <w:szCs w:val="21"/>
        </w:rPr>
      </w:pPr>
      <w:r w:rsidRPr="0044202D">
        <w:rPr>
          <w:sz w:val="21"/>
          <w:szCs w:val="21"/>
        </w:rPr>
        <w:t>Neni 11</w:t>
      </w:r>
    </w:p>
    <w:p w:rsidR="004B34DF" w:rsidRPr="0044202D" w:rsidRDefault="004B34DF" w:rsidP="004B34DF">
      <w:pPr>
        <w:pStyle w:val="NeniTitull"/>
        <w:keepNext w:val="0"/>
        <w:rPr>
          <w:sz w:val="21"/>
          <w:szCs w:val="21"/>
        </w:rPr>
      </w:pPr>
      <w:r w:rsidRPr="0044202D">
        <w:rPr>
          <w:sz w:val="21"/>
          <w:szCs w:val="21"/>
        </w:rPr>
        <w:t>Dokumentacioni shoqërues gjatë transportit</w:t>
      </w:r>
    </w:p>
    <w:p w:rsidR="004B34DF" w:rsidRPr="0044202D" w:rsidRDefault="004B34DF" w:rsidP="004B34DF">
      <w:pPr>
        <w:pStyle w:val="Paragrafi0"/>
        <w:rPr>
          <w:sz w:val="21"/>
          <w:szCs w:val="21"/>
          <w:lang w:val="en-GB"/>
        </w:rPr>
      </w:pPr>
    </w:p>
    <w:p w:rsidR="004B34DF" w:rsidRPr="0044202D" w:rsidRDefault="004B34DF" w:rsidP="004B34DF">
      <w:pPr>
        <w:pStyle w:val="Paragrafi0"/>
        <w:rPr>
          <w:sz w:val="21"/>
          <w:szCs w:val="21"/>
          <w:lang w:val="en-GB"/>
        </w:rPr>
      </w:pPr>
      <w:r w:rsidRPr="0044202D">
        <w:rPr>
          <w:sz w:val="21"/>
          <w:szCs w:val="21"/>
          <w:lang w:val="en-GB"/>
        </w:rPr>
        <w:t>1. Dokumentacioni i transportit që shoqëron ngarkesën e lëndës radioaktive duhet të përmbajë informacionin e mëposhtëm:</w:t>
      </w:r>
    </w:p>
    <w:p w:rsidR="004B34DF" w:rsidRPr="0044202D" w:rsidRDefault="004B34DF" w:rsidP="004B34DF">
      <w:pPr>
        <w:pStyle w:val="Paragrafi0"/>
        <w:rPr>
          <w:sz w:val="21"/>
          <w:szCs w:val="21"/>
          <w:lang w:val="en-GB"/>
        </w:rPr>
      </w:pPr>
      <w:r w:rsidRPr="0044202D">
        <w:rPr>
          <w:sz w:val="21"/>
          <w:szCs w:val="21"/>
          <w:lang w:val="en-GB"/>
        </w:rPr>
        <w:t>a) deklaratë nga dërguesi i pakos me lëndë radioaktive në të cilën tregohet se paketimi dhe etiketimi janë  kryer në përputhje me dispozitat përkatëse të rregullores;</w:t>
      </w:r>
    </w:p>
    <w:p w:rsidR="004B34DF" w:rsidRPr="0044202D" w:rsidRDefault="004B34DF" w:rsidP="004B34DF">
      <w:pPr>
        <w:pStyle w:val="Paragrafi0"/>
        <w:rPr>
          <w:sz w:val="21"/>
          <w:szCs w:val="21"/>
        </w:rPr>
      </w:pPr>
      <w:r w:rsidRPr="0044202D">
        <w:rPr>
          <w:sz w:val="21"/>
          <w:szCs w:val="21"/>
        </w:rPr>
        <w:t>b) emrat dhe adresat e sakta të dërguesit,  transportuesit dhe marrësit të mallit;</w:t>
      </w:r>
    </w:p>
    <w:p w:rsidR="004B34DF" w:rsidRPr="0044202D" w:rsidRDefault="004B34DF" w:rsidP="004B34DF">
      <w:pPr>
        <w:pStyle w:val="Paragrafi0"/>
        <w:rPr>
          <w:sz w:val="21"/>
          <w:szCs w:val="21"/>
        </w:rPr>
      </w:pPr>
      <w:r w:rsidRPr="0044202D">
        <w:rPr>
          <w:sz w:val="21"/>
          <w:szCs w:val="21"/>
        </w:rPr>
        <w:t>c) numrin dhe datën e lëshimit të licencave për dërguesin, transportuesin dhe marrësin;</w:t>
      </w:r>
    </w:p>
    <w:p w:rsidR="004B34DF" w:rsidRPr="0044202D" w:rsidRDefault="004B34DF" w:rsidP="004B34DF">
      <w:pPr>
        <w:pStyle w:val="Paragrafi0"/>
        <w:rPr>
          <w:sz w:val="21"/>
          <w:szCs w:val="21"/>
        </w:rPr>
      </w:pPr>
      <w:r w:rsidRPr="0044202D">
        <w:rPr>
          <w:sz w:val="21"/>
          <w:szCs w:val="21"/>
        </w:rPr>
        <w:t>d) emrin dhe simbolin për çdo radiobërthamë që transportohet, si dhe aktivitetin e tyre;</w:t>
      </w:r>
    </w:p>
    <w:p w:rsidR="004B34DF" w:rsidRPr="0044202D" w:rsidRDefault="004B34DF" w:rsidP="004B34DF">
      <w:pPr>
        <w:pStyle w:val="Paragrafi0"/>
        <w:rPr>
          <w:sz w:val="21"/>
          <w:szCs w:val="21"/>
        </w:rPr>
      </w:pPr>
      <w:r w:rsidRPr="0044202D">
        <w:rPr>
          <w:sz w:val="21"/>
          <w:szCs w:val="21"/>
        </w:rPr>
        <w:t>e) përshkrimin e formës kimike dhe fizike të lëndës radioaktive, si dhe formën e posaçme ose jo të saj;</w:t>
      </w:r>
    </w:p>
    <w:p w:rsidR="004B34DF" w:rsidRPr="0044202D" w:rsidRDefault="004B34DF" w:rsidP="004B34DF">
      <w:pPr>
        <w:pStyle w:val="Paragrafi0"/>
        <w:rPr>
          <w:sz w:val="21"/>
          <w:szCs w:val="21"/>
          <w:lang w:val="it-IT"/>
        </w:rPr>
      </w:pPr>
      <w:r w:rsidRPr="0044202D">
        <w:rPr>
          <w:sz w:val="21"/>
          <w:szCs w:val="21"/>
          <w:lang w:val="it-IT"/>
        </w:rPr>
        <w:t>f) kategorinë e paketimit (I – E BARDHË, II – E VERDHË, III – E VERDHË);</w:t>
      </w:r>
    </w:p>
    <w:p w:rsidR="004B34DF" w:rsidRPr="0044202D" w:rsidRDefault="004B34DF" w:rsidP="004B34DF">
      <w:pPr>
        <w:pStyle w:val="Paragrafi0"/>
        <w:rPr>
          <w:sz w:val="21"/>
          <w:szCs w:val="21"/>
          <w:lang w:val="it-IT"/>
        </w:rPr>
      </w:pPr>
      <w:r w:rsidRPr="0044202D">
        <w:rPr>
          <w:sz w:val="21"/>
          <w:szCs w:val="21"/>
          <w:lang w:val="it-IT"/>
        </w:rPr>
        <w:t>g) indeksin e transportit.</w:t>
      </w:r>
    </w:p>
    <w:p w:rsidR="004B34DF" w:rsidRPr="0044202D" w:rsidRDefault="004B34DF" w:rsidP="004B34DF">
      <w:pPr>
        <w:pStyle w:val="Paragrafi0"/>
        <w:rPr>
          <w:sz w:val="21"/>
          <w:szCs w:val="21"/>
          <w:lang w:val="it-IT"/>
        </w:rPr>
      </w:pPr>
      <w:r w:rsidRPr="0044202D">
        <w:rPr>
          <w:sz w:val="21"/>
          <w:szCs w:val="21"/>
          <w:lang w:val="it-IT"/>
        </w:rPr>
        <w:lastRenderedPageBreak/>
        <w:t>2. Të gjitha dokumentet shoqëruese duhet të kenë nënshkrimin dhe vulën e subjekteve që marrin pjesë në procesin e transportit. ZMR ka të drejtën e ushtrimit të kontrollit në çdo kohë mbi subjektet e licencuara, lidhur me saktësinë e dokumentacionit të transportit, elementet e sigurimit, sigurisë dhe mbrojtjes nga rrezatimet.</w:t>
      </w:r>
    </w:p>
    <w:p w:rsidR="004B34DF" w:rsidRPr="0044202D" w:rsidRDefault="004B34DF" w:rsidP="004B34DF">
      <w:pPr>
        <w:pStyle w:val="Paragrafi0"/>
        <w:rPr>
          <w:sz w:val="21"/>
          <w:szCs w:val="21"/>
          <w:lang w:val="it-IT"/>
        </w:rPr>
      </w:pPr>
    </w:p>
    <w:p w:rsidR="004B34DF" w:rsidRPr="0044202D" w:rsidRDefault="004B34DF" w:rsidP="004B34DF">
      <w:pPr>
        <w:pStyle w:val="NeniNr"/>
        <w:keepNext w:val="0"/>
        <w:rPr>
          <w:sz w:val="21"/>
          <w:szCs w:val="21"/>
          <w:lang w:val="it-IT"/>
        </w:rPr>
      </w:pPr>
      <w:r w:rsidRPr="0044202D">
        <w:rPr>
          <w:sz w:val="21"/>
          <w:szCs w:val="21"/>
          <w:lang w:val="it-IT"/>
        </w:rPr>
        <w:t>Neni 12</w:t>
      </w:r>
    </w:p>
    <w:p w:rsidR="004B34DF" w:rsidRPr="0044202D" w:rsidRDefault="004B34DF" w:rsidP="004B34DF">
      <w:pPr>
        <w:pStyle w:val="NeniTitull"/>
        <w:keepNext w:val="0"/>
        <w:rPr>
          <w:sz w:val="21"/>
          <w:szCs w:val="21"/>
          <w:lang w:val="it-IT"/>
        </w:rPr>
      </w:pPr>
      <w:r w:rsidRPr="0044202D">
        <w:rPr>
          <w:sz w:val="21"/>
          <w:szCs w:val="21"/>
          <w:lang w:val="it-IT"/>
        </w:rPr>
        <w:t>Kalimi në pikat doganore</w:t>
      </w:r>
    </w:p>
    <w:p w:rsidR="004B34DF" w:rsidRPr="0044202D" w:rsidRDefault="004B34DF" w:rsidP="004B34DF">
      <w:pPr>
        <w:pStyle w:val="Paragrafi0"/>
        <w:rPr>
          <w:sz w:val="21"/>
          <w:szCs w:val="21"/>
          <w:lang w:val="it-IT"/>
        </w:rPr>
      </w:pPr>
    </w:p>
    <w:p w:rsidR="004B34DF" w:rsidRPr="0044202D" w:rsidRDefault="004B34DF" w:rsidP="004B34DF">
      <w:pPr>
        <w:pStyle w:val="Paragrafi0"/>
        <w:rPr>
          <w:sz w:val="21"/>
          <w:szCs w:val="21"/>
          <w:lang w:val="it-IT"/>
        </w:rPr>
      </w:pPr>
      <w:r w:rsidRPr="0044202D">
        <w:rPr>
          <w:sz w:val="21"/>
          <w:szCs w:val="21"/>
          <w:lang w:val="it-IT"/>
        </w:rPr>
        <w:t>1. Autoritetet doganore, në bashkëpunim me Komisionin e Mbrojtjes nga Rrezatimet, përcaktojnë zonat dhe kriteret që duhet të përmbushen për të garantuar mbrojtjen nga rrezatimet dhe sigurim fizik.</w:t>
      </w:r>
    </w:p>
    <w:p w:rsidR="004B34DF" w:rsidRPr="0044202D" w:rsidRDefault="004B34DF" w:rsidP="004B34DF">
      <w:pPr>
        <w:pStyle w:val="Paragrafi0"/>
        <w:rPr>
          <w:sz w:val="21"/>
          <w:szCs w:val="21"/>
          <w:lang w:val="it-IT"/>
        </w:rPr>
      </w:pPr>
      <w:r w:rsidRPr="0044202D">
        <w:rPr>
          <w:sz w:val="21"/>
          <w:szCs w:val="21"/>
          <w:lang w:val="it-IT"/>
        </w:rPr>
        <w:t xml:space="preserve">2. Importi dhe eksporti i paketimeve me lëndë radioaktive nga subjektet e licencuara, si dhe veprimet përkatëse në organet doganore bëhen vetëm mbi bazën e një aprovimi të posaçëm që  subjekti e siguron nga ZMR, e cila duhet të paraqitet në origjinal në çdo rast kur subjekti  importon ose eksporton  lëndë radioaktive. </w:t>
      </w:r>
    </w:p>
    <w:p w:rsidR="004B34DF" w:rsidRPr="0044202D" w:rsidRDefault="004B34DF" w:rsidP="004B34DF">
      <w:pPr>
        <w:pStyle w:val="Paragrafi0"/>
        <w:rPr>
          <w:sz w:val="21"/>
          <w:szCs w:val="21"/>
          <w:lang w:val="it-IT"/>
        </w:rPr>
      </w:pPr>
    </w:p>
    <w:p w:rsidR="004B34DF" w:rsidRPr="004B34DF" w:rsidRDefault="004B34DF" w:rsidP="004B34DF">
      <w:pPr>
        <w:pStyle w:val="NeniNr"/>
        <w:keepNext w:val="0"/>
        <w:rPr>
          <w:sz w:val="21"/>
          <w:szCs w:val="21"/>
          <w:lang w:val="it-IT"/>
        </w:rPr>
      </w:pPr>
      <w:r w:rsidRPr="004B34DF">
        <w:rPr>
          <w:sz w:val="21"/>
          <w:szCs w:val="21"/>
          <w:lang w:val="it-IT"/>
        </w:rPr>
        <w:t>Neni 13</w:t>
      </w:r>
    </w:p>
    <w:p w:rsidR="004B34DF" w:rsidRPr="004B34DF" w:rsidRDefault="004B34DF" w:rsidP="004B34DF">
      <w:pPr>
        <w:pStyle w:val="NeniTitull"/>
        <w:keepNext w:val="0"/>
        <w:rPr>
          <w:sz w:val="21"/>
          <w:szCs w:val="21"/>
          <w:lang w:val="it-IT"/>
        </w:rPr>
      </w:pPr>
      <w:r w:rsidRPr="004B34DF">
        <w:rPr>
          <w:sz w:val="21"/>
          <w:szCs w:val="21"/>
          <w:lang w:val="it-IT"/>
        </w:rPr>
        <w:t>Dispozita të fundit</w:t>
      </w:r>
    </w:p>
    <w:p w:rsidR="004B34DF" w:rsidRPr="004B34DF" w:rsidRDefault="004B34DF" w:rsidP="004B34DF">
      <w:pPr>
        <w:pStyle w:val="Paragrafi0"/>
        <w:rPr>
          <w:sz w:val="21"/>
          <w:szCs w:val="21"/>
          <w:lang w:val="it-IT"/>
        </w:rPr>
      </w:pPr>
    </w:p>
    <w:p w:rsidR="004B34DF" w:rsidRPr="004B34DF" w:rsidRDefault="004B34DF" w:rsidP="004B34DF">
      <w:pPr>
        <w:pStyle w:val="Paragrafi0"/>
        <w:rPr>
          <w:sz w:val="21"/>
          <w:szCs w:val="21"/>
          <w:lang w:val="it-IT"/>
        </w:rPr>
      </w:pPr>
      <w:r w:rsidRPr="004B34DF">
        <w:rPr>
          <w:sz w:val="21"/>
          <w:szCs w:val="21"/>
          <w:lang w:val="it-IT"/>
        </w:rPr>
        <w:t>1. Në rast aksidenti gjatë transportit të lëndëve radioaktive njoftohet menjëherë Qendra Kombëtare Operacionale e Menaxhimit të Emergjencave, Qendra e Fizikës Bërthamore të Aplikuar, Komisioni i Mbrojtjes nga Rrezatimet, të cilat zbatojnë dispozitat e  Planit Kombëtar të Emergjencave Radiologjike. Transportuesi merr të gjitha masat për parandalimin e ekspozimeve shtesë dhe ka përgjegjësinë kryesore për sigurinë, sigurimin dhe mbrojtjen nga rrezatimet.</w:t>
      </w:r>
    </w:p>
    <w:p w:rsidR="004B34DF" w:rsidRPr="004B34DF" w:rsidRDefault="004B34DF" w:rsidP="004B34DF">
      <w:pPr>
        <w:pStyle w:val="Paragrafi0"/>
        <w:rPr>
          <w:sz w:val="21"/>
          <w:szCs w:val="21"/>
          <w:lang w:val="it-IT"/>
        </w:rPr>
      </w:pPr>
      <w:r w:rsidRPr="004B34DF">
        <w:rPr>
          <w:sz w:val="21"/>
          <w:szCs w:val="21"/>
          <w:lang w:val="it-IT"/>
        </w:rPr>
        <w:t xml:space="preserve">2. Të gjithë personat juridikë e fizikë të licencuar kanë përgjegjësinë kryesore për transportin e sigurt dhe sigurimin e lëndëve  radioaktive. Në lidhje me sigurimin e materialeve në transport zbatohen të gjitha dispozitat që lidhen me sigurimin e lëndëve  radioaktive sipas grupit të sigurisë. </w:t>
      </w:r>
    </w:p>
    <w:p w:rsidR="004B34DF" w:rsidRPr="004B34DF" w:rsidRDefault="004B34DF" w:rsidP="004B34DF">
      <w:pPr>
        <w:pStyle w:val="Paragrafi0"/>
        <w:rPr>
          <w:lang w:val="it-IT"/>
        </w:rPr>
      </w:pPr>
      <w:r w:rsidRPr="004B34DF">
        <w:rPr>
          <w:lang w:val="it-IT"/>
        </w:rPr>
        <w:t xml:space="preserve">3. Të gjithë personat fizikë dhe juridikë të licencuar nga KMR janë të detyruar të zbatojnë me rreptësi të gjitha dispozitat e kësaj rregulloreje, si dhe dispozitat e tjera ekzistuese që lidhen me transportin në Republikën e Shqipërisë. </w:t>
      </w:r>
    </w:p>
    <w:p w:rsidR="004B34DF" w:rsidRPr="0044202D" w:rsidRDefault="007D218D" w:rsidP="004B34DF">
      <w:pPr>
        <w:pStyle w:val="Paragrafi0"/>
      </w:pPr>
      <w:r w:rsidRPr="0044202D">
        <w:rPr>
          <w:noProof/>
          <w:lang w:val="en-GB" w:eastAsia="en-GB"/>
        </w:rPr>
        <w:lastRenderedPageBreak/>
        <w:drawing>
          <wp:inline distT="0" distB="0" distL="0" distR="0">
            <wp:extent cx="5486400" cy="677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772275"/>
                    </a:xfrm>
                    <a:prstGeom prst="rect">
                      <a:avLst/>
                    </a:prstGeom>
                    <a:noFill/>
                    <a:ln>
                      <a:noFill/>
                    </a:ln>
                  </pic:spPr>
                </pic:pic>
              </a:graphicData>
            </a:graphic>
          </wp:inline>
        </w:drawing>
      </w:r>
    </w:p>
    <w:p w:rsidR="004B34DF" w:rsidRPr="0044202D" w:rsidRDefault="007D218D" w:rsidP="004B34DF">
      <w:pPr>
        <w:pStyle w:val="Paragrafi0"/>
      </w:pPr>
      <w:r w:rsidRPr="0044202D">
        <w:rPr>
          <w:noProof/>
          <w:lang w:val="en-GB" w:eastAsia="en-GB"/>
        </w:rPr>
        <w:lastRenderedPageBreak/>
        <w:drawing>
          <wp:inline distT="0" distB="0" distL="0" distR="0">
            <wp:extent cx="5486400" cy="606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6067425"/>
                    </a:xfrm>
                    <a:prstGeom prst="rect">
                      <a:avLst/>
                    </a:prstGeom>
                    <a:noFill/>
                    <a:ln>
                      <a:noFill/>
                    </a:ln>
                  </pic:spPr>
                </pic:pic>
              </a:graphicData>
            </a:graphic>
          </wp:inline>
        </w:drawing>
      </w:r>
    </w:p>
    <w:p w:rsidR="004B34DF" w:rsidRPr="0044202D" w:rsidRDefault="007D218D" w:rsidP="004B34DF">
      <w:pPr>
        <w:pStyle w:val="Paragrafi0"/>
      </w:pPr>
      <w:r w:rsidRPr="0044202D">
        <w:rPr>
          <w:noProof/>
          <w:lang w:val="en-GB" w:eastAsia="en-GB"/>
        </w:rPr>
        <w:drawing>
          <wp:inline distT="0" distB="0" distL="0" distR="0">
            <wp:extent cx="5486400" cy="662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66294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13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61341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010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6010275"/>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276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6276975"/>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286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2865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76875" cy="6629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6875" cy="66294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76875" cy="6858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6875" cy="68580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76875" cy="6743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67437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40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76875" cy="7086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70866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74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67437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76875" cy="6372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6875" cy="6372225"/>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143500" cy="7086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l="6250"/>
                    <a:stretch>
                      <a:fillRect/>
                    </a:stretch>
                  </pic:blipFill>
                  <pic:spPr bwMode="auto">
                    <a:xfrm>
                      <a:off x="0" y="0"/>
                      <a:ext cx="5143500" cy="70866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6743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67437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715000" cy="6972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69723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5029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50292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4914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t="4651"/>
                    <a:stretch>
                      <a:fillRect/>
                    </a:stretch>
                  </pic:blipFill>
                  <pic:spPr bwMode="auto">
                    <a:xfrm>
                      <a:off x="0" y="0"/>
                      <a:ext cx="5486400" cy="4914900"/>
                    </a:xfrm>
                    <a:prstGeom prst="rect">
                      <a:avLst/>
                    </a:prstGeom>
                    <a:noFill/>
                    <a:ln>
                      <a:noFill/>
                    </a:ln>
                  </pic:spPr>
                </pic:pic>
              </a:graphicData>
            </a:graphic>
          </wp:inline>
        </w:drawing>
      </w:r>
    </w:p>
    <w:p w:rsidR="004B34DF" w:rsidRPr="0044202D" w:rsidRDefault="007D218D" w:rsidP="004B34DF">
      <w:pPr>
        <w:pStyle w:val="Paragrafi0"/>
      </w:pPr>
      <w:r w:rsidRPr="0044202D">
        <w:rPr>
          <w:noProof/>
          <w:lang w:val="en-GB" w:eastAsia="en-GB"/>
        </w:rPr>
        <w:drawing>
          <wp:inline distT="0" distB="0" distL="0" distR="0">
            <wp:extent cx="5486400" cy="320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b="7143"/>
                    <a:stretch>
                      <a:fillRect/>
                    </a:stretch>
                  </pic:blipFill>
                  <pic:spPr bwMode="auto">
                    <a:xfrm>
                      <a:off x="0" y="0"/>
                      <a:ext cx="5486400" cy="3200400"/>
                    </a:xfrm>
                    <a:prstGeom prst="rect">
                      <a:avLst/>
                    </a:prstGeom>
                    <a:noFill/>
                    <a:ln>
                      <a:noFill/>
                    </a:ln>
                  </pic:spPr>
                </pic:pic>
              </a:graphicData>
            </a:graphic>
          </wp:inline>
        </w:drawing>
      </w:r>
    </w:p>
    <w:p w:rsidR="004B34DF" w:rsidRPr="0044202D" w:rsidRDefault="007D218D" w:rsidP="004B34DF">
      <w:pPr>
        <w:pStyle w:val="Paragrafi0"/>
      </w:pPr>
      <w:r w:rsidRPr="0044202D">
        <w:rPr>
          <w:noProof/>
          <w:lang w:val="en-GB" w:eastAsia="en-GB"/>
        </w:rPr>
        <w:drawing>
          <wp:inline distT="0" distB="0" distL="0" distR="0">
            <wp:extent cx="5486400" cy="365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b="10698"/>
                    <a:stretch>
                      <a:fillRect/>
                    </a:stretch>
                  </pic:blipFill>
                  <pic:spPr bwMode="auto">
                    <a:xfrm>
                      <a:off x="0" y="0"/>
                      <a:ext cx="5486400" cy="3657600"/>
                    </a:xfrm>
                    <a:prstGeom prst="rect">
                      <a:avLst/>
                    </a:prstGeom>
                    <a:noFill/>
                    <a:ln>
                      <a:noFill/>
                    </a:ln>
                  </pic:spPr>
                </pic:pic>
              </a:graphicData>
            </a:graphic>
          </wp:inline>
        </w:drawing>
      </w:r>
    </w:p>
    <w:p w:rsidR="004B34DF" w:rsidRPr="0044202D" w:rsidRDefault="004B34DF" w:rsidP="004B34DF">
      <w:pPr>
        <w:pStyle w:val="Paragrafi0"/>
      </w:pPr>
    </w:p>
    <w:p w:rsidR="004B34DF" w:rsidRPr="0044202D" w:rsidRDefault="007D218D" w:rsidP="004B34DF">
      <w:pPr>
        <w:pStyle w:val="Paragrafi0"/>
      </w:pPr>
      <w:r w:rsidRPr="0044202D">
        <w:rPr>
          <w:noProof/>
          <w:lang w:val="en-GB" w:eastAsia="en-GB"/>
        </w:rPr>
        <w:drawing>
          <wp:inline distT="0" distB="0" distL="0" distR="0">
            <wp:extent cx="5486400" cy="33623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362325"/>
                    </a:xfrm>
                    <a:prstGeom prst="rect">
                      <a:avLst/>
                    </a:prstGeom>
                    <a:noFill/>
                    <a:ln>
                      <a:noFill/>
                    </a:ln>
                  </pic:spPr>
                </pic:pic>
              </a:graphicData>
            </a:graphic>
          </wp:inline>
        </w:drawing>
      </w:r>
    </w:p>
    <w:p w:rsidR="004B34DF" w:rsidRPr="0044202D" w:rsidRDefault="004B34DF" w:rsidP="004B34DF">
      <w:pPr>
        <w:pStyle w:val="Paragrafi0"/>
        <w:ind w:firstLine="0"/>
        <w:jc w:val="center"/>
        <w:rPr>
          <w:sz w:val="21"/>
          <w:szCs w:val="21"/>
        </w:rPr>
      </w:pPr>
    </w:p>
    <w:sectPr w:rsidR="004B34DF" w:rsidRPr="004420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bulletmenumraChar"/>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1"/>
  </w:num>
  <w:num w:numId="18">
    <w:abstractNumId w:val="1"/>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1"/>
  </w:num>
  <w:num w:numId="29">
    <w:abstractNumId w:val="1"/>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34DF"/>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B1A"/>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18"/>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AD5"/>
    <w:rsid w:val="00435F64"/>
    <w:rsid w:val="00436604"/>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4DF"/>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18D"/>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854"/>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E5725A8-75F2-435E-8091-64B7A5FF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4DF"/>
    <w:pPr>
      <w:spacing w:after="200" w:line="276" w:lineRule="auto"/>
    </w:pPr>
    <w:rPr>
      <w:rFonts w:ascii="Calibri" w:eastAsia="Batang" w:hAnsi="Calibri"/>
      <w:sz w:val="22"/>
      <w:szCs w:val="22"/>
      <w:lang w:val="en-US" w:eastAsia="en-US"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B34DF"/>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4B34DF"/>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4B34DF"/>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4B34DF"/>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4B34DF"/>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4B34DF"/>
    <w:pPr>
      <w:spacing w:after="0"/>
      <w:outlineLvl w:val="6"/>
    </w:pPr>
    <w:rPr>
      <w:rFonts w:ascii="Cambria" w:eastAsia="Times New Roman" w:hAnsi="Cambria"/>
      <w:i/>
      <w:iCs/>
    </w:rPr>
  </w:style>
  <w:style w:type="paragraph" w:styleId="Heading8">
    <w:name w:val="heading 8"/>
    <w:basedOn w:val="Normal"/>
    <w:next w:val="Normal"/>
    <w:link w:val="Heading8Char"/>
    <w:qFormat/>
    <w:rsid w:val="004B34DF"/>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4B34DF"/>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4B34DF"/>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4B34DF"/>
    <w:rPr>
      <w:rFonts w:ascii="Cambria" w:hAnsi="Cambria"/>
      <w:b/>
      <w:bCs/>
      <w:sz w:val="26"/>
      <w:szCs w:val="26"/>
      <w:lang w:val="en-US" w:eastAsia="en-US" w:bidi="en-US"/>
    </w:rPr>
  </w:style>
  <w:style w:type="character" w:customStyle="1" w:styleId="Heading3Char1">
    <w:name w:val="Heading 3 Char1"/>
    <w:basedOn w:val="DefaultParagraphFont"/>
    <w:link w:val="Heading3"/>
    <w:rsid w:val="004B34DF"/>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4B34DF"/>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4B34DF"/>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4B34DF"/>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4B34DF"/>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4B34DF"/>
    <w:rPr>
      <w:rFonts w:ascii="Cambria" w:hAnsi="Cambria"/>
      <w:lang w:val="en-US" w:eastAsia="en-US" w:bidi="en-US"/>
    </w:rPr>
  </w:style>
  <w:style w:type="character" w:customStyle="1" w:styleId="Heading9Char">
    <w:name w:val="Heading 9 Char"/>
    <w:basedOn w:val="DefaultParagraphFont"/>
    <w:link w:val="Heading9"/>
    <w:semiHidden/>
    <w:rsid w:val="004B34DF"/>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basedOn w:val="DefaultParagraphFont"/>
    <w:link w:val="Akti"/>
    <w:rsid w:val="004B34DF"/>
    <w:rPr>
      <w:rFonts w:ascii="CG Times" w:eastAsia="MS Mincho" w:hAnsi="CG Times"/>
      <w:b/>
      <w:caps/>
      <w:color w:val="000000"/>
      <w:sz w:val="22"/>
      <w:szCs w:val="22"/>
      <w:lang w:val="en-GB" w:eastAsia="en-US" w:bidi="ar-SA"/>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rsid w:val="004B34DF"/>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4B34DF"/>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rsid w:val="004B34DF"/>
    <w:pPr>
      <w:tabs>
        <w:tab w:val="center" w:pos="4320"/>
        <w:tab w:val="right" w:pos="8640"/>
      </w:tabs>
    </w:pPr>
  </w:style>
  <w:style w:type="character" w:customStyle="1" w:styleId="FooterChar">
    <w:name w:val="Footer Char"/>
    <w:basedOn w:val="DefaultParagraphFont"/>
    <w:link w:val="Footer"/>
    <w:rsid w:val="004B34DF"/>
    <w:rPr>
      <w:rFonts w:ascii="Calibri" w:eastAsia="Batang" w:hAnsi="Calibri"/>
      <w:sz w:val="22"/>
      <w:szCs w:val="22"/>
      <w:lang w:val="en-US" w:eastAsia="en-US" w:bidi="en-US"/>
    </w:rPr>
  </w:style>
  <w:style w:type="character" w:styleId="PageNumber">
    <w:name w:val="page number"/>
    <w:basedOn w:val="DefaultParagraphFont"/>
    <w:rsid w:val="004B34DF"/>
  </w:style>
  <w:style w:type="character" w:customStyle="1" w:styleId="SubtitleChar">
    <w:name w:val="Subtitle Char"/>
    <w:basedOn w:val="DefaultParagraphFont"/>
    <w:link w:val="Subtitle"/>
    <w:rsid w:val="004B34DF"/>
    <w:rPr>
      <w:rFonts w:ascii="Trebuchet MS" w:eastAsia="MS Mincho" w:hAnsi="Trebuchet MS"/>
      <w:lang w:val="en-GB" w:eastAsia="en-US" w:bidi="ar-SA"/>
    </w:rPr>
  </w:style>
  <w:style w:type="paragraph" w:styleId="Subtitle">
    <w:name w:val="Subtitle"/>
    <w:basedOn w:val="Normal"/>
    <w:next w:val="Normal"/>
    <w:link w:val="SubtitleChar"/>
    <w:qFormat/>
    <w:rsid w:val="004B34DF"/>
    <w:pPr>
      <w:spacing w:after="600"/>
    </w:pPr>
    <w:rPr>
      <w:rFonts w:ascii="Trebuchet MS" w:eastAsia="MS Mincho" w:hAnsi="Trebuchet MS"/>
      <w:sz w:val="20"/>
      <w:szCs w:val="20"/>
      <w:lang w:val="en-GB" w:bidi="ar-SA"/>
    </w:rPr>
  </w:style>
  <w:style w:type="paragraph" w:customStyle="1" w:styleId="BoxText">
    <w:name w:val="Box Text"/>
    <w:basedOn w:val="Normal"/>
    <w:rsid w:val="004B34D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4B34D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4B34DF"/>
    <w:rPr>
      <w:rFonts w:ascii="Trebuchet MS" w:eastAsia="MS Mincho" w:hAnsi="Trebuchet MS"/>
      <w:szCs w:val="22"/>
      <w:lang w:val="en-GB" w:eastAsia="en-US" w:bidi="ar-SA"/>
    </w:rPr>
  </w:style>
  <w:style w:type="paragraph" w:customStyle="1" w:styleId="bulletmeshkronja">
    <w:name w:val="bullet me shkronja"/>
    <w:basedOn w:val="Normal"/>
    <w:rsid w:val="004B34DF"/>
    <w:pPr>
      <w:widowControl w:val="0"/>
      <w:spacing w:before="60" w:after="60"/>
      <w:jc w:val="both"/>
    </w:pPr>
    <w:rPr>
      <w:rFonts w:ascii="Trebuchet MS" w:eastAsia="MS Mincho" w:hAnsi="Trebuchet MS"/>
      <w:lang w:val="sq-AL"/>
    </w:rPr>
  </w:style>
  <w:style w:type="character" w:customStyle="1" w:styleId="CharChar">
    <w:name w:val="Char Char"/>
    <w:basedOn w:val="DefaultParagraphFont"/>
    <w:locked/>
    <w:rsid w:val="004B34DF"/>
    <w:rPr>
      <w:rFonts w:ascii="Trebuchet MS" w:eastAsia="MS Mincho" w:hAnsi="Trebuchet MS"/>
      <w:sz w:val="22"/>
      <w:lang w:val="en-GB" w:eastAsia="en-US" w:bidi="ar-SA"/>
    </w:rPr>
  </w:style>
  <w:style w:type="character" w:customStyle="1" w:styleId="footnoteChar">
    <w:name w:val="footnote Char"/>
    <w:basedOn w:val="DefaultParagraphFont"/>
    <w:rsid w:val="004B34D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B34DF"/>
    <w:rPr>
      <w:rFonts w:ascii="Trebuchet MS" w:eastAsia="MS Mincho" w:hAnsi="Trebuchet MS"/>
      <w:sz w:val="18"/>
      <w:lang w:val="en-GB" w:eastAsia="en-US" w:bidi="ar-SA"/>
    </w:rPr>
  </w:style>
  <w:style w:type="character" w:customStyle="1" w:styleId="Heading1CharChar">
    <w:name w:val="Heading 1 Char Char"/>
    <w:basedOn w:val="DefaultParagraphFont"/>
    <w:rsid w:val="004B34D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B34D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B34DF"/>
    <w:rPr>
      <w:rFonts w:ascii="Trebuchet MS" w:eastAsia="MS Mincho" w:hAnsi="Trebuchet MS" w:cs="Arial"/>
      <w:b/>
      <w:bCs/>
      <w:sz w:val="24"/>
      <w:szCs w:val="24"/>
      <w:lang w:val="en-US" w:eastAsia="en-US" w:bidi="ar-SA"/>
    </w:rPr>
  </w:style>
  <w:style w:type="paragraph" w:customStyle="1" w:styleId="hyrje">
    <w:name w:val="hyrje"/>
    <w:basedOn w:val="Heading1"/>
    <w:rsid w:val="004B34DF"/>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4B34D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4B34DF"/>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4B34D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B34DF"/>
    <w:rPr>
      <w:rFonts w:ascii="Trebuchet MS" w:eastAsia="MS Mincho" w:hAnsi="Trebuchet MS"/>
      <w:sz w:val="22"/>
      <w:szCs w:val="22"/>
      <w:lang w:val="en-US" w:eastAsia="en-US" w:bidi="ar-SA"/>
    </w:rPr>
  </w:style>
  <w:style w:type="paragraph" w:customStyle="1" w:styleId="listmenumra">
    <w:name w:val="list me numra"/>
    <w:basedOn w:val="ListBullet2"/>
    <w:rsid w:val="004B34DF"/>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4B34DF"/>
    <w:pPr>
      <w:numPr>
        <w:numId w:val="38"/>
      </w:numPr>
    </w:pPr>
  </w:style>
  <w:style w:type="character" w:customStyle="1" w:styleId="listmenumraCharChar">
    <w:name w:val="list me numra Char Char"/>
    <w:basedOn w:val="ListBullet2Char"/>
    <w:rsid w:val="004B34DF"/>
    <w:rPr>
      <w:rFonts w:ascii="Trebuchet MS" w:eastAsia="MS Mincho" w:hAnsi="Trebuchet MS"/>
      <w:sz w:val="22"/>
      <w:szCs w:val="22"/>
      <w:lang w:val="en-US" w:eastAsia="en-US" w:bidi="ar-SA"/>
    </w:rPr>
  </w:style>
  <w:style w:type="paragraph" w:styleId="ListParagraph">
    <w:name w:val="List Paragraph"/>
    <w:basedOn w:val="Normal"/>
    <w:qFormat/>
    <w:rsid w:val="004B34DF"/>
    <w:pPr>
      <w:ind w:left="720"/>
      <w:contextualSpacing/>
    </w:pPr>
    <w:rPr>
      <w:sz w:val="20"/>
      <w:szCs w:val="20"/>
    </w:rPr>
  </w:style>
  <w:style w:type="paragraph" w:customStyle="1" w:styleId="para">
    <w:name w:val="para"/>
    <w:basedOn w:val="Normal"/>
    <w:rsid w:val="004B34D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4B34DF"/>
    <w:rPr>
      <w:rFonts w:ascii="Arial" w:eastAsia="MS Mincho" w:hAnsi="Arial"/>
      <w:sz w:val="22"/>
      <w:szCs w:val="24"/>
      <w:lang w:val="en-US" w:eastAsia="en-US" w:bidi="ar-SA"/>
    </w:rPr>
  </w:style>
  <w:style w:type="paragraph" w:customStyle="1" w:styleId="para-indent">
    <w:name w:val="para-indent"/>
    <w:basedOn w:val="para"/>
    <w:rsid w:val="004B34DF"/>
    <w:pPr>
      <w:ind w:left="720"/>
    </w:pPr>
  </w:style>
  <w:style w:type="paragraph" w:customStyle="1" w:styleId="Pas">
    <w:name w:val="Pas"/>
    <w:basedOn w:val="Normal"/>
    <w:rsid w:val="004B34DF"/>
    <w:pPr>
      <w:widowControl w:val="0"/>
    </w:pPr>
    <w:rPr>
      <w:rFonts w:ascii="CG Times" w:eastAsia="MS Mincho" w:hAnsi="CG Times"/>
      <w:lang w:val="sq-AL"/>
    </w:rPr>
  </w:style>
  <w:style w:type="paragraph" w:customStyle="1" w:styleId="Section">
    <w:name w:val="Section"/>
    <w:rsid w:val="004B34DF"/>
    <w:rPr>
      <w:rFonts w:ascii="Arial" w:hAnsi="Arial" w:cs="Arial"/>
      <w:bCs/>
      <w:kern w:val="32"/>
      <w:sz w:val="48"/>
      <w:szCs w:val="32"/>
      <w:lang w:val="en-US" w:eastAsia="en-US"/>
    </w:rPr>
  </w:style>
  <w:style w:type="paragraph" w:customStyle="1" w:styleId="SectionNUM">
    <w:name w:val="Section NUM"/>
    <w:next w:val="Heading1"/>
    <w:rsid w:val="004B34DF"/>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4B34D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B34D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4B34DF"/>
    <w:rPr>
      <w:rFonts w:ascii="Trebuchet MS" w:eastAsia="MS Mincho" w:hAnsi="Trebuchet MS"/>
      <w:sz w:val="18"/>
      <w:szCs w:val="18"/>
      <w:lang w:val="en-US" w:eastAsia="en-US" w:bidi="ar-SA"/>
    </w:rPr>
  </w:style>
  <w:style w:type="paragraph" w:customStyle="1" w:styleId="sub-list">
    <w:name w:val="sub-list"/>
    <w:rsid w:val="004B34DF"/>
    <w:pPr>
      <w:spacing w:before="60" w:after="120"/>
    </w:pPr>
    <w:rPr>
      <w:rFonts w:ascii="Arial" w:hAnsi="Arial"/>
      <w:sz w:val="22"/>
      <w:szCs w:val="24"/>
      <w:lang w:val="en-US" w:eastAsia="en-US"/>
    </w:rPr>
  </w:style>
  <w:style w:type="paragraph" w:customStyle="1" w:styleId="tabela">
    <w:name w:val="tabela"/>
    <w:basedOn w:val="Normal"/>
    <w:rsid w:val="004B34DF"/>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4B34D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4B34D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B34DF"/>
    <w:pPr>
      <w:spacing w:before="40" w:after="40"/>
      <w:jc w:val="both"/>
    </w:pPr>
    <w:rPr>
      <w:rFonts w:ascii="Trebuchet MS" w:eastAsia="MS Mincho" w:hAnsi="Trebuchet MS"/>
      <w:sz w:val="18"/>
      <w:lang w:val="it-IT"/>
    </w:rPr>
  </w:style>
  <w:style w:type="paragraph" w:customStyle="1" w:styleId="xl22">
    <w:name w:val="xl22"/>
    <w:basedOn w:val="Normal"/>
    <w:rsid w:val="004B34D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4B34DF"/>
    <w:pPr>
      <w:spacing w:before="100" w:beforeAutospacing="1" w:after="100" w:afterAutospacing="1"/>
    </w:pPr>
    <w:rPr>
      <w:rFonts w:ascii="Book Antiqua" w:eastAsia="MS Mincho" w:hAnsi="Book Antiqua"/>
      <w:sz w:val="20"/>
      <w:szCs w:val="20"/>
    </w:rPr>
  </w:style>
  <w:style w:type="paragraph" w:customStyle="1" w:styleId="CharCharCharChar0">
    <w:name w:val="Char Char Char Char"/>
    <w:basedOn w:val="Normal"/>
    <w:rsid w:val="004B34DF"/>
    <w:pPr>
      <w:spacing w:after="160" w:line="240" w:lineRule="exact"/>
    </w:pPr>
    <w:rPr>
      <w:rFonts w:ascii="Tahoma" w:hAnsi="Tahoma"/>
      <w:sz w:val="20"/>
      <w:szCs w:val="20"/>
    </w:rPr>
  </w:style>
  <w:style w:type="character" w:customStyle="1" w:styleId="CharChar1">
    <w:name w:val="Char Char1"/>
    <w:basedOn w:val="DefaultParagraphFont"/>
    <w:rsid w:val="004B34DF"/>
    <w:rPr>
      <w:rFonts w:ascii="Trebuchet MS" w:eastAsia="MS Mincho" w:hAnsi="Trebuchet MS"/>
      <w:lang w:val="en-GB" w:eastAsia="en-US" w:bidi="ar-SA"/>
    </w:rPr>
  </w:style>
  <w:style w:type="paragraph" w:customStyle="1" w:styleId="Char1">
    <w:name w:val="Char1"/>
    <w:basedOn w:val="Normal"/>
    <w:rsid w:val="004B34DF"/>
    <w:pPr>
      <w:spacing w:after="160" w:line="240" w:lineRule="exact"/>
    </w:pPr>
    <w:rPr>
      <w:rFonts w:ascii="Tahoma" w:eastAsia="MS Mincho" w:hAnsi="Tahoma"/>
      <w:sz w:val="20"/>
      <w:szCs w:val="20"/>
      <w:lang w:val="en-GB" w:eastAsia="en-GB"/>
    </w:rPr>
  </w:style>
  <w:style w:type="paragraph" w:styleId="Title">
    <w:name w:val="Title"/>
    <w:basedOn w:val="Normal"/>
    <w:next w:val="Normal"/>
    <w:link w:val="TitleChar"/>
    <w:qFormat/>
    <w:rsid w:val="004B34DF"/>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4B34DF"/>
    <w:rPr>
      <w:rFonts w:ascii="Cambria" w:hAnsi="Cambria"/>
      <w:spacing w:val="5"/>
      <w:sz w:val="52"/>
      <w:szCs w:val="52"/>
      <w:lang w:val="en-US" w:eastAsia="en-US" w:bidi="en-US"/>
    </w:rPr>
  </w:style>
  <w:style w:type="character" w:styleId="Strong">
    <w:name w:val="Strong"/>
    <w:qFormat/>
    <w:rsid w:val="004B34DF"/>
    <w:rPr>
      <w:b/>
      <w:bCs/>
    </w:rPr>
  </w:style>
  <w:style w:type="character" w:styleId="Emphasis">
    <w:name w:val="Emphasis"/>
    <w:qFormat/>
    <w:rsid w:val="004B34DF"/>
    <w:rPr>
      <w:b/>
      <w:bCs/>
      <w:i/>
      <w:iCs/>
      <w:spacing w:val="10"/>
      <w:bdr w:val="none" w:sz="0" w:space="0" w:color="auto"/>
      <w:shd w:val="clear" w:color="auto" w:fill="auto"/>
    </w:rPr>
  </w:style>
  <w:style w:type="paragraph" w:styleId="NoSpacing">
    <w:name w:val="No Spacing"/>
    <w:basedOn w:val="Normal"/>
    <w:qFormat/>
    <w:rsid w:val="004B34DF"/>
    <w:pPr>
      <w:spacing w:after="0" w:line="240" w:lineRule="auto"/>
    </w:pPr>
  </w:style>
  <w:style w:type="paragraph" w:styleId="Quote">
    <w:name w:val="Quote"/>
    <w:basedOn w:val="Normal"/>
    <w:next w:val="Normal"/>
    <w:link w:val="QuoteChar"/>
    <w:qFormat/>
    <w:rsid w:val="004B34DF"/>
    <w:pPr>
      <w:spacing w:before="200" w:after="0"/>
      <w:ind w:left="360" w:right="360"/>
    </w:pPr>
    <w:rPr>
      <w:i/>
      <w:iCs/>
    </w:rPr>
  </w:style>
  <w:style w:type="character" w:customStyle="1" w:styleId="QuoteChar">
    <w:name w:val="Quote Char"/>
    <w:basedOn w:val="DefaultParagraphFont"/>
    <w:link w:val="Quote"/>
    <w:rsid w:val="004B34DF"/>
    <w:rPr>
      <w:rFonts w:ascii="Calibri" w:eastAsia="Batang" w:hAnsi="Calibri"/>
      <w:i/>
      <w:iCs/>
      <w:sz w:val="22"/>
      <w:szCs w:val="22"/>
      <w:lang w:val="en-US" w:eastAsia="en-US" w:bidi="en-US"/>
    </w:rPr>
  </w:style>
  <w:style w:type="paragraph" w:styleId="IntenseQuote">
    <w:name w:val="Intense Quote"/>
    <w:basedOn w:val="Normal"/>
    <w:next w:val="Normal"/>
    <w:link w:val="IntenseQuoteChar"/>
    <w:qFormat/>
    <w:rsid w:val="004B34D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4B34DF"/>
    <w:rPr>
      <w:rFonts w:ascii="Calibri" w:eastAsia="Batang" w:hAnsi="Calibri"/>
      <w:b/>
      <w:bCs/>
      <w:i/>
      <w:iCs/>
      <w:sz w:val="22"/>
      <w:szCs w:val="22"/>
      <w:lang w:val="en-US" w:eastAsia="en-US" w:bidi="en-US"/>
    </w:rPr>
  </w:style>
  <w:style w:type="character" w:styleId="SubtleEmphasis">
    <w:name w:val="Subtle Emphasis"/>
    <w:qFormat/>
    <w:rsid w:val="004B34DF"/>
    <w:rPr>
      <w:i/>
      <w:iCs/>
    </w:rPr>
  </w:style>
  <w:style w:type="character" w:styleId="IntenseEmphasis">
    <w:name w:val="Intense Emphasis"/>
    <w:qFormat/>
    <w:rsid w:val="004B34DF"/>
    <w:rPr>
      <w:b/>
      <w:bCs/>
    </w:rPr>
  </w:style>
  <w:style w:type="character" w:styleId="SubtleReference">
    <w:name w:val="Subtle Reference"/>
    <w:qFormat/>
    <w:rsid w:val="004B34DF"/>
    <w:rPr>
      <w:smallCaps/>
    </w:rPr>
  </w:style>
  <w:style w:type="character" w:styleId="IntenseReference">
    <w:name w:val="Intense Reference"/>
    <w:qFormat/>
    <w:rsid w:val="004B34DF"/>
    <w:rPr>
      <w:smallCaps/>
      <w:spacing w:val="5"/>
      <w:u w:val="single"/>
    </w:rPr>
  </w:style>
  <w:style w:type="character" w:styleId="BookTitle">
    <w:name w:val="Book Title"/>
    <w:qFormat/>
    <w:rsid w:val="004B34DF"/>
    <w:rPr>
      <w:i/>
      <w:iCs/>
      <w:smallCaps/>
      <w:spacing w:val="5"/>
    </w:rPr>
  </w:style>
  <w:style w:type="paragraph" w:styleId="Header">
    <w:name w:val="header"/>
    <w:basedOn w:val="Normal"/>
    <w:link w:val="HeaderChar"/>
    <w:semiHidden/>
    <w:unhideWhenUsed/>
    <w:rsid w:val="004B34DF"/>
    <w:pPr>
      <w:tabs>
        <w:tab w:val="center" w:pos="4680"/>
        <w:tab w:val="right" w:pos="9360"/>
      </w:tabs>
    </w:pPr>
  </w:style>
  <w:style w:type="character" w:customStyle="1" w:styleId="HeaderChar">
    <w:name w:val="Header Char"/>
    <w:basedOn w:val="DefaultParagraphFont"/>
    <w:link w:val="Header"/>
    <w:semiHidden/>
    <w:rsid w:val="004B34DF"/>
    <w:rPr>
      <w:rFonts w:ascii="Calibri" w:eastAsia="Batang"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1971</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2019-03-17T16:39:00Z</dcterms:created>
  <dcterms:modified xsi:type="dcterms:W3CDTF">2019-03-17T16:39:00Z</dcterms:modified>
</cp:coreProperties>
</file>