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C77" w:rsidRDefault="00165C77" w:rsidP="00165C77">
      <w:pPr>
        <w:pStyle w:val="Akti"/>
        <w:keepNext w:val="0"/>
      </w:pPr>
      <w:r>
        <w:t>Vendim</w:t>
      </w:r>
    </w:p>
    <w:p w:rsidR="00165C77" w:rsidRDefault="00165C77" w:rsidP="00165C77">
      <w:pPr>
        <w:pStyle w:val="NumriData"/>
        <w:keepNext w:val="0"/>
      </w:pPr>
      <w:r>
        <w:t>Nr.586, datë 7.7.2010</w:t>
      </w:r>
    </w:p>
    <w:p w:rsidR="00165C77" w:rsidRDefault="00165C77" w:rsidP="00165C77">
      <w:pPr>
        <w:pStyle w:val="Paragrafi0"/>
      </w:pPr>
    </w:p>
    <w:p w:rsidR="00165C77" w:rsidRDefault="00165C77" w:rsidP="00165C77">
      <w:pPr>
        <w:pStyle w:val="Titulli0"/>
        <w:keepNext w:val="0"/>
      </w:pPr>
      <w:r>
        <w:t>Për kuotat e pranimit në institucionet publike të arsimit të lartë, cikli i parë i studimeve me kohë të plotë, si dhe për tarifat e shkollimit, për vitin akademik 2010-2011</w:t>
      </w:r>
    </w:p>
    <w:p w:rsidR="002F6442" w:rsidRPr="002F6442" w:rsidRDefault="002F6442" w:rsidP="002F6442">
      <w:pPr>
        <w:jc w:val="center"/>
        <w:rPr>
          <w:rFonts w:ascii="Garamond" w:hAnsi="Garamond"/>
          <w:i/>
          <w:sz w:val="24"/>
          <w:szCs w:val="24"/>
          <w:lang w:val="en-GB" w:bidi="ar-SA"/>
        </w:rPr>
      </w:pPr>
      <w:r w:rsidRPr="002F6442">
        <w:rPr>
          <w:rFonts w:ascii="Garamond" w:hAnsi="Garamond"/>
          <w:i/>
          <w:sz w:val="24"/>
          <w:szCs w:val="24"/>
          <w:lang w:val="en-GB" w:bidi="ar-SA"/>
        </w:rPr>
        <w:t>(Ndryshuar me VKM nr. 847, datë 13.10.2010)</w:t>
      </w:r>
    </w:p>
    <w:p w:rsidR="002F6442" w:rsidRPr="002F6442" w:rsidRDefault="002F6442" w:rsidP="002F6442">
      <w:pPr>
        <w:jc w:val="right"/>
        <w:rPr>
          <w:rFonts w:ascii="Garamond" w:hAnsi="Garamond"/>
          <w:i/>
          <w:sz w:val="24"/>
          <w:szCs w:val="24"/>
          <w:lang w:val="en-GB" w:bidi="ar-SA"/>
        </w:rPr>
      </w:pPr>
      <w:r w:rsidRPr="002F6442">
        <w:rPr>
          <w:rFonts w:ascii="Garamond" w:hAnsi="Garamond"/>
          <w:i/>
          <w:sz w:val="24"/>
          <w:szCs w:val="24"/>
          <w:lang w:val="en-GB" w:bidi="ar-SA"/>
        </w:rPr>
        <w:t>(i përditësuar)</w:t>
      </w:r>
    </w:p>
    <w:p w:rsidR="00165C77" w:rsidRDefault="00165C77" w:rsidP="00165C77">
      <w:pPr>
        <w:pStyle w:val="Paragrafi0"/>
      </w:pPr>
    </w:p>
    <w:p w:rsidR="00165C77" w:rsidRDefault="00165C77" w:rsidP="00165C77">
      <w:pPr>
        <w:pStyle w:val="Paragrafi0"/>
      </w:pPr>
      <w:r>
        <w:t>Në mbështetje të nenit 100 të Kushtetutës dhe të neneve 33, 35, 36 e 75 të ligjit nr.9741, datë 21.5.2007 “Për arsimin e lartë në Republikën e Shqipërisë”, të ndryshuar, me propozimin e Ministrit të Arsimit dhe Shkencës, Këshilli i Ministrave</w:t>
      </w:r>
    </w:p>
    <w:p w:rsidR="00165C77" w:rsidRDefault="00165C77" w:rsidP="00165C77">
      <w:pPr>
        <w:pStyle w:val="Paragrafi0"/>
      </w:pPr>
    </w:p>
    <w:p w:rsidR="00165C77" w:rsidRDefault="00165C77" w:rsidP="00165C77">
      <w:pPr>
        <w:pStyle w:val="VENDOSI0"/>
        <w:keepNext w:val="0"/>
      </w:pPr>
      <w:r>
        <w:t>Vendosi:</w:t>
      </w:r>
    </w:p>
    <w:p w:rsidR="00165C77" w:rsidRDefault="00165C77" w:rsidP="00165C77">
      <w:pPr>
        <w:pStyle w:val="Paragrafi0"/>
      </w:pPr>
    </w:p>
    <w:p w:rsidR="00165C77" w:rsidRDefault="00165C77" w:rsidP="00165C77">
      <w:pPr>
        <w:pStyle w:val="Paragrafi0"/>
      </w:pPr>
      <w:r>
        <w:t>1. Kuotat e përgjithshme të pranimit në institucionet publike të arsimit të lartë, për vitin akademik 2010-2011, në ciklin e parë të studimeve me kohë të plotë, janë 23 534, të ndara, si më poshtë vijon:</w:t>
      </w:r>
    </w:p>
    <w:tbl>
      <w:tblPr>
        <w:tblW w:w="0" w:type="auto"/>
        <w:jc w:val="center"/>
        <w:tblLook w:val="04A0" w:firstRow="1" w:lastRow="0" w:firstColumn="1" w:lastColumn="0" w:noHBand="0" w:noVBand="1"/>
      </w:tblPr>
      <w:tblGrid>
        <w:gridCol w:w="400"/>
        <w:gridCol w:w="6142"/>
        <w:gridCol w:w="883"/>
      </w:tblGrid>
      <w:tr w:rsidR="00165C77" w:rsidTr="00165C77">
        <w:trPr>
          <w:jc w:val="center"/>
        </w:trPr>
        <w:tc>
          <w:tcPr>
            <w:tcW w:w="0" w:type="auto"/>
          </w:tcPr>
          <w:p w:rsidR="00165C77" w:rsidRDefault="00165C77" w:rsidP="00165C77">
            <w:pPr>
              <w:pStyle w:val="Paragrafi0"/>
              <w:ind w:firstLine="0"/>
            </w:pPr>
            <w:r>
              <w:t>a)</w:t>
            </w:r>
          </w:p>
        </w:tc>
        <w:tc>
          <w:tcPr>
            <w:tcW w:w="0" w:type="auto"/>
          </w:tcPr>
          <w:p w:rsidR="00165C77" w:rsidRPr="00165C77" w:rsidRDefault="00165C77" w:rsidP="00165C77">
            <w:pPr>
              <w:pStyle w:val="Paragrafi0"/>
              <w:ind w:firstLine="0"/>
              <w:rPr>
                <w:lang w:val="it-IT"/>
              </w:rPr>
            </w:pPr>
            <w:r w:rsidRPr="00165C77">
              <w:rPr>
                <w:lang w:val="it-IT"/>
              </w:rPr>
              <w:t>Kuotat e pranimeve të reja për programet e studimit të ciklit të parë</w:t>
            </w:r>
          </w:p>
        </w:tc>
        <w:tc>
          <w:tcPr>
            <w:tcW w:w="0" w:type="auto"/>
          </w:tcPr>
          <w:p w:rsidR="00165C77" w:rsidRDefault="00165C77" w:rsidP="00165C77">
            <w:pPr>
              <w:pStyle w:val="Paragrafi0"/>
              <w:ind w:firstLine="0"/>
              <w:jc w:val="right"/>
            </w:pPr>
            <w:r>
              <w:t>23 034;</w:t>
            </w:r>
          </w:p>
        </w:tc>
      </w:tr>
      <w:tr w:rsidR="00165C77" w:rsidTr="00165C77">
        <w:trPr>
          <w:jc w:val="center"/>
        </w:trPr>
        <w:tc>
          <w:tcPr>
            <w:tcW w:w="0" w:type="auto"/>
          </w:tcPr>
          <w:p w:rsidR="00165C77" w:rsidRDefault="00165C77" w:rsidP="00165C77">
            <w:pPr>
              <w:pStyle w:val="Paragrafi0"/>
              <w:ind w:firstLine="0"/>
            </w:pPr>
            <w:r>
              <w:t>b)</w:t>
            </w:r>
          </w:p>
        </w:tc>
        <w:tc>
          <w:tcPr>
            <w:tcW w:w="0" w:type="auto"/>
          </w:tcPr>
          <w:p w:rsidR="00165C77" w:rsidRPr="00165C77" w:rsidRDefault="00165C77" w:rsidP="00165C77">
            <w:pPr>
              <w:pStyle w:val="Paragrafi0"/>
              <w:ind w:firstLine="0"/>
              <w:rPr>
                <w:lang w:val="it-IT"/>
              </w:rPr>
            </w:pPr>
            <w:r w:rsidRPr="00165C77">
              <w:rPr>
                <w:lang w:val="it-IT"/>
              </w:rPr>
              <w:t>Kuota për program të dytë studimi</w:t>
            </w:r>
          </w:p>
        </w:tc>
        <w:tc>
          <w:tcPr>
            <w:tcW w:w="0" w:type="auto"/>
          </w:tcPr>
          <w:p w:rsidR="00165C77" w:rsidRDefault="00165C77" w:rsidP="00165C77">
            <w:pPr>
              <w:pStyle w:val="Paragrafi0"/>
              <w:ind w:firstLine="0"/>
              <w:jc w:val="right"/>
            </w:pPr>
            <w:r>
              <w:t>100;</w:t>
            </w:r>
          </w:p>
        </w:tc>
      </w:tr>
      <w:tr w:rsidR="00165C77" w:rsidTr="00165C77">
        <w:trPr>
          <w:jc w:val="center"/>
        </w:trPr>
        <w:tc>
          <w:tcPr>
            <w:tcW w:w="0" w:type="auto"/>
          </w:tcPr>
          <w:p w:rsidR="00165C77" w:rsidRDefault="00165C77" w:rsidP="00165C77">
            <w:pPr>
              <w:pStyle w:val="Paragrafi0"/>
              <w:ind w:firstLine="0"/>
            </w:pPr>
            <w:r>
              <w:t>c)</w:t>
            </w:r>
          </w:p>
        </w:tc>
        <w:tc>
          <w:tcPr>
            <w:tcW w:w="0" w:type="auto"/>
          </w:tcPr>
          <w:p w:rsidR="00165C77" w:rsidRDefault="00165C77" w:rsidP="00165C77">
            <w:pPr>
              <w:pStyle w:val="Paragrafi0"/>
              <w:ind w:firstLine="0"/>
            </w:pPr>
            <w:r>
              <w:t>Kuota për transferim studimesh</w:t>
            </w:r>
          </w:p>
        </w:tc>
        <w:tc>
          <w:tcPr>
            <w:tcW w:w="0" w:type="auto"/>
          </w:tcPr>
          <w:p w:rsidR="00165C77" w:rsidRDefault="00165C77" w:rsidP="00165C77">
            <w:pPr>
              <w:pStyle w:val="Paragrafi0"/>
              <w:ind w:firstLine="0"/>
              <w:jc w:val="right"/>
            </w:pPr>
            <w:r>
              <w:t>300;</w:t>
            </w:r>
          </w:p>
        </w:tc>
      </w:tr>
      <w:tr w:rsidR="00165C77" w:rsidTr="00165C77">
        <w:trPr>
          <w:jc w:val="center"/>
        </w:trPr>
        <w:tc>
          <w:tcPr>
            <w:tcW w:w="0" w:type="auto"/>
          </w:tcPr>
          <w:p w:rsidR="00165C77" w:rsidRDefault="00165C77" w:rsidP="00165C77">
            <w:pPr>
              <w:pStyle w:val="Paragrafi0"/>
              <w:ind w:firstLine="0"/>
            </w:pPr>
            <w:r>
              <w:t>ç)</w:t>
            </w:r>
          </w:p>
        </w:tc>
        <w:tc>
          <w:tcPr>
            <w:tcW w:w="0" w:type="auto"/>
          </w:tcPr>
          <w:p w:rsidR="00165C77" w:rsidRPr="00165C77" w:rsidRDefault="00165C77" w:rsidP="00165C77">
            <w:pPr>
              <w:pStyle w:val="Paragrafi0"/>
              <w:ind w:firstLine="0"/>
              <w:rPr>
                <w:lang w:val="it-IT"/>
              </w:rPr>
            </w:pPr>
            <w:r w:rsidRPr="00165C77">
              <w:rPr>
                <w:lang w:val="it-IT"/>
              </w:rPr>
              <w:t>Kuota për shtetasit e huaj</w:t>
            </w:r>
          </w:p>
        </w:tc>
        <w:tc>
          <w:tcPr>
            <w:tcW w:w="0" w:type="auto"/>
          </w:tcPr>
          <w:p w:rsidR="00165C77" w:rsidRDefault="00165C77" w:rsidP="00165C77">
            <w:pPr>
              <w:pStyle w:val="Paragrafi0"/>
              <w:ind w:firstLine="0"/>
              <w:jc w:val="right"/>
            </w:pPr>
            <w:r>
              <w:t>100.</w:t>
            </w:r>
          </w:p>
        </w:tc>
      </w:tr>
    </w:tbl>
    <w:p w:rsidR="00165C77" w:rsidRDefault="00165C77" w:rsidP="00165C77">
      <w:pPr>
        <w:pStyle w:val="Paragrafi0"/>
      </w:pPr>
    </w:p>
    <w:p w:rsidR="00165C77" w:rsidRDefault="00165C77" w:rsidP="00165C77">
      <w:pPr>
        <w:pStyle w:val="Paragrafi0"/>
      </w:pPr>
    </w:p>
    <w:p w:rsidR="00165C77" w:rsidRDefault="00165C77" w:rsidP="00165C77">
      <w:pPr>
        <w:pStyle w:val="Paragrafi0"/>
      </w:pPr>
    </w:p>
    <w:p w:rsidR="00165C77" w:rsidRDefault="00165C77" w:rsidP="00165C77">
      <w:pPr>
        <w:pStyle w:val="Paragrafi0"/>
      </w:pPr>
    </w:p>
    <w:p w:rsidR="00165C77" w:rsidRDefault="00165C77" w:rsidP="00165C77">
      <w:pPr>
        <w:pStyle w:val="Paragrafi0"/>
      </w:pPr>
      <w:r>
        <w:t>2. Kuota e pranimevetë reja për programet e studimit të ciklit të parë me kohë të plotë përbëhet nga:</w:t>
      </w:r>
    </w:p>
    <w:tbl>
      <w:tblPr>
        <w:tblW w:w="0" w:type="auto"/>
        <w:jc w:val="center"/>
        <w:tblLook w:val="04A0" w:firstRow="1" w:lastRow="0" w:firstColumn="1" w:lastColumn="0" w:noHBand="0" w:noVBand="1"/>
      </w:tblPr>
      <w:tblGrid>
        <w:gridCol w:w="400"/>
        <w:gridCol w:w="5336"/>
        <w:gridCol w:w="883"/>
      </w:tblGrid>
      <w:tr w:rsidR="00165C77" w:rsidTr="00165C77">
        <w:trPr>
          <w:jc w:val="center"/>
        </w:trPr>
        <w:tc>
          <w:tcPr>
            <w:tcW w:w="0" w:type="auto"/>
          </w:tcPr>
          <w:p w:rsidR="00165C77" w:rsidRDefault="00165C77" w:rsidP="00165C77">
            <w:pPr>
              <w:pStyle w:val="Paragrafi0"/>
              <w:ind w:firstLine="0"/>
            </w:pPr>
            <w:r>
              <w:t>a)</w:t>
            </w:r>
          </w:p>
        </w:tc>
        <w:tc>
          <w:tcPr>
            <w:tcW w:w="0" w:type="auto"/>
          </w:tcPr>
          <w:p w:rsidR="00165C77" w:rsidRPr="00165C77" w:rsidRDefault="00165C77" w:rsidP="00165C77">
            <w:pPr>
              <w:pStyle w:val="Paragrafi0"/>
              <w:ind w:firstLine="0"/>
              <w:rPr>
                <w:lang w:val="it-IT"/>
              </w:rPr>
            </w:pPr>
            <w:r w:rsidRPr="00165C77">
              <w:rPr>
                <w:lang w:val="it-IT"/>
              </w:rPr>
              <w:t>Kuotat e pranimit për kandidatët brenda territorit të vendit</w:t>
            </w:r>
          </w:p>
        </w:tc>
        <w:tc>
          <w:tcPr>
            <w:tcW w:w="0" w:type="auto"/>
          </w:tcPr>
          <w:p w:rsidR="00165C77" w:rsidRDefault="00165C77" w:rsidP="00165C77">
            <w:pPr>
              <w:pStyle w:val="Paragrafi0"/>
              <w:ind w:firstLine="0"/>
              <w:jc w:val="right"/>
            </w:pPr>
            <w:r>
              <w:t>21 725;</w:t>
            </w:r>
          </w:p>
        </w:tc>
      </w:tr>
      <w:tr w:rsidR="00165C77" w:rsidTr="00165C77">
        <w:trPr>
          <w:jc w:val="center"/>
        </w:trPr>
        <w:tc>
          <w:tcPr>
            <w:tcW w:w="0" w:type="auto"/>
          </w:tcPr>
          <w:p w:rsidR="00165C77" w:rsidRDefault="00165C77" w:rsidP="00165C77">
            <w:pPr>
              <w:pStyle w:val="Paragrafi0"/>
              <w:ind w:firstLine="0"/>
            </w:pPr>
            <w:r>
              <w:t>b)</w:t>
            </w:r>
          </w:p>
        </w:tc>
        <w:tc>
          <w:tcPr>
            <w:tcW w:w="0" w:type="auto"/>
          </w:tcPr>
          <w:p w:rsidR="00165C77" w:rsidRDefault="00165C77" w:rsidP="00165C77">
            <w:pPr>
              <w:pStyle w:val="Paragrafi0"/>
              <w:ind w:firstLine="0"/>
            </w:pPr>
            <w:r>
              <w:t>Kuota për shqiptarët nga trojet jashtë kufijve të vendit</w:t>
            </w:r>
          </w:p>
        </w:tc>
        <w:tc>
          <w:tcPr>
            <w:tcW w:w="0" w:type="auto"/>
          </w:tcPr>
          <w:p w:rsidR="00165C77" w:rsidRDefault="00165C77" w:rsidP="00165C77">
            <w:pPr>
              <w:pStyle w:val="Paragrafi0"/>
              <w:ind w:firstLine="0"/>
              <w:jc w:val="right"/>
            </w:pPr>
            <w:r>
              <w:t>1264;</w:t>
            </w:r>
          </w:p>
        </w:tc>
      </w:tr>
      <w:tr w:rsidR="00165C77" w:rsidTr="00165C77">
        <w:trPr>
          <w:jc w:val="center"/>
        </w:trPr>
        <w:tc>
          <w:tcPr>
            <w:tcW w:w="0" w:type="auto"/>
          </w:tcPr>
          <w:p w:rsidR="00165C77" w:rsidRDefault="00165C77" w:rsidP="00165C77">
            <w:pPr>
              <w:pStyle w:val="Paragrafi0"/>
              <w:ind w:firstLine="0"/>
            </w:pPr>
            <w:r>
              <w:t>c)</w:t>
            </w:r>
          </w:p>
        </w:tc>
        <w:tc>
          <w:tcPr>
            <w:tcW w:w="0" w:type="auto"/>
          </w:tcPr>
          <w:p w:rsidR="00165C77" w:rsidRDefault="00165C77" w:rsidP="00165C77">
            <w:pPr>
              <w:pStyle w:val="Paragrafi0"/>
              <w:ind w:firstLine="0"/>
            </w:pPr>
            <w:r>
              <w:t>Kuota për të verbërit (të veçanta)</w:t>
            </w:r>
          </w:p>
        </w:tc>
        <w:tc>
          <w:tcPr>
            <w:tcW w:w="0" w:type="auto"/>
          </w:tcPr>
          <w:p w:rsidR="00165C77" w:rsidRDefault="00165C77" w:rsidP="00165C77">
            <w:pPr>
              <w:pStyle w:val="Paragrafi0"/>
              <w:ind w:firstLine="0"/>
              <w:jc w:val="right"/>
            </w:pPr>
            <w:r>
              <w:t>20;</w:t>
            </w:r>
          </w:p>
        </w:tc>
      </w:tr>
      <w:tr w:rsidR="00165C77" w:rsidTr="00165C77">
        <w:trPr>
          <w:jc w:val="center"/>
        </w:trPr>
        <w:tc>
          <w:tcPr>
            <w:tcW w:w="0" w:type="auto"/>
          </w:tcPr>
          <w:p w:rsidR="00165C77" w:rsidRDefault="00165C77" w:rsidP="00165C77">
            <w:pPr>
              <w:pStyle w:val="Paragrafi0"/>
              <w:ind w:firstLine="0"/>
            </w:pPr>
            <w:r>
              <w:t>ç)</w:t>
            </w:r>
          </w:p>
        </w:tc>
        <w:tc>
          <w:tcPr>
            <w:tcW w:w="0" w:type="auto"/>
          </w:tcPr>
          <w:p w:rsidR="00165C77" w:rsidRDefault="00165C77" w:rsidP="00165C77">
            <w:pPr>
              <w:pStyle w:val="Paragrafi0"/>
              <w:ind w:firstLine="0"/>
            </w:pPr>
            <w:r>
              <w:t>Kuota për romët (ballkano-egjiptianë)</w:t>
            </w:r>
          </w:p>
        </w:tc>
        <w:tc>
          <w:tcPr>
            <w:tcW w:w="0" w:type="auto"/>
          </w:tcPr>
          <w:p w:rsidR="00165C77" w:rsidRDefault="00165C77" w:rsidP="00165C77">
            <w:pPr>
              <w:pStyle w:val="Paragrafi0"/>
              <w:ind w:firstLine="0"/>
              <w:jc w:val="right"/>
            </w:pPr>
            <w:r>
              <w:t>25.</w:t>
            </w:r>
          </w:p>
        </w:tc>
      </w:tr>
    </w:tbl>
    <w:p w:rsidR="00165C77" w:rsidRDefault="00165C77" w:rsidP="00165C77">
      <w:pPr>
        <w:pStyle w:val="Paragrafi0"/>
      </w:pPr>
    </w:p>
    <w:p w:rsidR="00165C77" w:rsidRDefault="00165C77" w:rsidP="00165C77">
      <w:pPr>
        <w:pStyle w:val="Paragrafi0"/>
      </w:pPr>
      <w:r>
        <w:t>3. Kuotat e pranimit për programet e studimit të ciklti të parë me kohë të plotë, të përcaktuara në shkronjën “a” të pikës 2 të këtij vendimi, të ndara sipas programeve të studimit në institucionet publike të arsimit të lartë, pasqyrohen në tabelën nr.1, bashkëlidhur këtij vendimi.</w:t>
      </w:r>
    </w:p>
    <w:p w:rsidR="00165C77" w:rsidRDefault="00165C77" w:rsidP="00165C77">
      <w:pPr>
        <w:pStyle w:val="Paragrafi0"/>
      </w:pPr>
      <w:r>
        <w:t>4. Kuotat e pranimit për programet e studimit të ciklit të parë, të përcaktuara në shkronjën “b” të pikës 2 të këtij vendimi, ndahen ndërmjet kandidatëve shqiptarë nga trojet jashtë kufijve të vendit: Kosovë, Maqedoni, Mali i Zi, Preshevë, Bujanovc dhe Medvegjë. Administrimi i këtyre kuotave për kandidatët nga Republika e Maqedonisë, nga Republika e Malit të Zi dhe nga prefektura e Preshevës, Bujanovcit dhe Medvegjës kryhet nga ministritë e arsimit dhe autoritetet përgjegjëse respektive, të cilat sjellin, në Ministrinë e Arsimit dhe Shkencës të Republikës së Shqipërisë, listat e kandidatëve fitues. Ministria e Arsimit dhe Shkencës ua përcjell listat institucioneve publike të arsimit të lartë.</w:t>
      </w:r>
    </w:p>
    <w:p w:rsidR="00165C77" w:rsidRDefault="00165C77" w:rsidP="00165C77">
      <w:pPr>
        <w:pStyle w:val="Paragrafi0"/>
      </w:pPr>
      <w:r>
        <w:t>Në bazë të marrëveshjes ndërmjet Këshillit të Ministrave të Republikës së Shqipërisë dhe Qeverisë së Republikës së Kosovës për bashkëpunimin në fushën e arsimit dhe shkencës, kandidatët nga Republika e Kosovës aplikojnë direkt në institucionet publike të arsimit të lartë në Republikën e Shqipërisë, në programe të studimit të ciklit të parë me kohë të plotë. Kriteret e vlerësimit dhe të pranimit të tyre në këto programe studimi përcaktohen nga vetë institucionet publike të arsimit të lartë dhe bëhen të njohura në median e shkruar e elektronike për të gjithë kandidatët e interesuar.</w:t>
      </w:r>
    </w:p>
    <w:p w:rsidR="00165C77" w:rsidRDefault="00165C77" w:rsidP="00165C77">
      <w:pPr>
        <w:pStyle w:val="Paragrafi0"/>
      </w:pPr>
      <w:r>
        <w:t xml:space="preserve">Kuotat e pranimit, të përcaktuara në shkronjën “b” të pikës 2 të këtij vendimi, të ndara sipas </w:t>
      </w:r>
      <w:r>
        <w:lastRenderedPageBreak/>
        <w:t xml:space="preserve">programeve të studimit në institucionet publike të arsimit të lartë, pasqyrohen në tabelën nr.2, bashkëlidhur këtij vendimi. </w:t>
      </w:r>
    </w:p>
    <w:p w:rsidR="00165C77" w:rsidRDefault="00165C77" w:rsidP="00165C77">
      <w:pPr>
        <w:pStyle w:val="Paragrafi0"/>
      </w:pPr>
      <w:r>
        <w:t>5. Kuotat e pranimit për të verbërit ndahen për kandidatët me statusin e të verbërit nga Ministria e Arsimit dhe Shkencës, pasi merret mendimi i Shoqatës Kombëtare të të Verbërve.</w:t>
      </w:r>
    </w:p>
    <w:p w:rsidR="00165C77" w:rsidRDefault="00165C77" w:rsidP="00165C77">
      <w:pPr>
        <w:pStyle w:val="Paragrafi0"/>
      </w:pPr>
      <w:r>
        <w:t>6. Kuotat e pranimit për romët ndahen nga Ministria e Arsimit dhe Shkencës, pasi merret mendimi i Shoqatës Kombëtare të Romëve.</w:t>
      </w:r>
    </w:p>
    <w:p w:rsidR="00165C77" w:rsidRDefault="00165C77" w:rsidP="00165C77">
      <w:pPr>
        <w:pStyle w:val="Paragrafi0"/>
      </w:pPr>
      <w:r>
        <w:t>7. Kuotat e pranimeve për shtetasit e huaj, që do të studiojnë në institucionet publike të arsimit të lartë të Republikës së Shqipërisë, administrohen nga Ministria e Arsimit dhe Shkencës. Ato shpërndahen në bazë të marrëveshjeve dy apo shumëpalëshe, si dhe në bazë të kërkesave individuale, të paraqitura në ministri nga persona të interesuar.</w:t>
      </w:r>
    </w:p>
    <w:p w:rsidR="00165C77" w:rsidRDefault="00165C77" w:rsidP="00165C77">
      <w:pPr>
        <w:pStyle w:val="Paragrafi0"/>
      </w:pPr>
      <w:r>
        <w:t>8. Tarifat vjetore të shkollimit për studentët, që regjistrohen në vitin e parë, në programet e studimit të ciklit të parë me kohë të plotë, në vitin akademik 2010-2011, pasqyrohen në tabelën nr.3, bashkëlidhur këtij vendimi.</w:t>
      </w:r>
    </w:p>
    <w:p w:rsidR="00165C77" w:rsidRDefault="00165C77" w:rsidP="00165C77">
      <w:pPr>
        <w:pStyle w:val="Paragrafi0"/>
      </w:pPr>
      <w:r>
        <w:t>9. Kandidatët, që fitojnë të drejtën për të ndjekur një program studimi të ciklit të parë, në institucionet publike të arsimit të lartë, në vitin e ri akademik 2010-2011, dhe që vijnë nga këto shtresa sociale si: të verbër/të shurdhër, invalidë paraplegjikë dhe tetraplegjikë, studentë me aftësi të kufizuara, fëmijë romë, ballkano-egjiptianë apo fëmijë të policëve të rënë ose të plagosur për shkak të detyrës, e të ish-të përndjekurve politikë, përjashtohen nga tarifa vjetore e shkollimit. Nga kjo tarifë vjetore shkollimi përjashtohen edhe studentët e viteve më të larta, që vijnë nga këto shtresa sociale.</w:t>
      </w:r>
    </w:p>
    <w:p w:rsidR="00165C77" w:rsidRPr="00165C77" w:rsidRDefault="00165C77" w:rsidP="00165C77">
      <w:pPr>
        <w:pStyle w:val="Paragrafi0"/>
        <w:rPr>
          <w:lang w:val="it-IT"/>
        </w:rPr>
      </w:pPr>
      <w:r w:rsidRPr="00165C77">
        <w:rPr>
          <w:lang w:val="it-IT"/>
        </w:rPr>
        <w:t>10. Studenti i nënshtrohet vetëm një tarife vjetore shkollimi. Studenti përsëritës i nënshtrohet tarifës vjetore të shkollimit të vitit akademik, në të cilin vazhdon studimet.</w:t>
      </w:r>
    </w:p>
    <w:p w:rsidR="00165C77" w:rsidRPr="00165C77" w:rsidRDefault="00165C77" w:rsidP="00165C77">
      <w:pPr>
        <w:pStyle w:val="Paragrafi0"/>
        <w:rPr>
          <w:lang w:val="it-IT"/>
        </w:rPr>
      </w:pPr>
    </w:p>
    <w:p w:rsidR="00165C77" w:rsidRDefault="00165C77" w:rsidP="00165C77">
      <w:pPr>
        <w:pStyle w:val="Paragrafi0"/>
      </w:pPr>
      <w:r>
        <w:t>11. Në çdo program studimi, në ciklin e parë të studimeve me kohë të plotë, në vitin akademik 2010-2011, 5 (pesë) studentët e vitit të parë, me rezultatet më të larta në plotësimin e kritereve të pranimit (pikët e fituara në sistemin meritë-preferencë), në programin e studimit përkatës, përjashtohen nga tarifa vjetore e shkollimit. Këtë përjashtim, në asnjë rast, nuk e përfitojnë studentët me notën mesatare të shkollës së mesme më të ulët se nota 9 (nëntë).</w:t>
      </w:r>
    </w:p>
    <w:p w:rsidR="00165C77" w:rsidRDefault="00165C77" w:rsidP="00165C77">
      <w:pPr>
        <w:pStyle w:val="Paragrafi0"/>
      </w:pPr>
      <w:r>
        <w:t>12. Kuotat e pranimeve për një program të dytë studimi, të përcaktuara në shkronjën “b” të pikës 1 të këtij vendimi, si edhe kuotat për transferim studimesh, të përcaktuara në shkronjën “c” të pikës 1 të këtij vendimi, shpërndahen nga Ministria e Arsimit dhe Shkencës, mbështetur dhe në kërkesat e institucioneve publike të arsimit të lartë.</w:t>
      </w:r>
    </w:p>
    <w:p w:rsidR="00165C77" w:rsidRDefault="00165C77" w:rsidP="00165C77">
      <w:pPr>
        <w:pStyle w:val="Paragrafi0"/>
      </w:pPr>
      <w:r>
        <w:t>13. Transferimet e studentëve, në numrin përkatës të kuotës së përcaktuar nga Ministria e Arsimit dhe e Shkencës, bëhen nga vetë institucionet publike të arsimit të lartë, sipas kritereve të përcaktuara në aktet nënligjore dhe në statutin e rregulloret e tyre.</w:t>
      </w:r>
    </w:p>
    <w:p w:rsidR="00165C77" w:rsidRDefault="00165C77" w:rsidP="00165C77">
      <w:pPr>
        <w:pStyle w:val="Paragrafi0"/>
      </w:pPr>
      <w:r>
        <w:t>14. Studentët, që transferojnë studimet nga një program studimi apo nga programe të mëparshme studimi të ciklit të parë në një program tjetër studimi në institucionet publike të arsimit të lartë, i nënshtrohen tarifës së përgjithshme vjetore të shkollimit të programit të studimit përkatës, në të cilin ata kanë kërkuar të transferojnë studimet.</w:t>
      </w:r>
    </w:p>
    <w:p w:rsidR="00165C77" w:rsidRDefault="00165C77" w:rsidP="00165C77">
      <w:pPr>
        <w:pStyle w:val="Paragrafi0"/>
      </w:pPr>
      <w:r>
        <w:t>15. Kandidatët, që dëshirojnë të vijojnë studimet në një program të dytë studimi, e fitojnë këtë të drejtë, brenda numrit të kuotës së përcaktuar nga Ministria e Arsimit dhe Shkencës, sipas kritereve të përcaktuara nga vetë institucionet publike të arsimit të lartë për pranimet në një program të dytë studimi dhe pa iu nënshtruar detyrimeve të “Maturës Shtetërore”.</w:t>
      </w:r>
    </w:p>
    <w:p w:rsidR="00165C77" w:rsidRDefault="00165C77" w:rsidP="00165C77">
      <w:pPr>
        <w:pStyle w:val="Paragrafi0"/>
      </w:pPr>
      <w:r>
        <w:t>16. Kandidatët, që kërkojnë të studiojnë në program të dytë studimi në Akademinë e Arteve, në Universitetin e Sporteve të Tiranës, në programin e studimit të ciklit të parë “Edukim fizik dhe sporte” të universitetit “Luigj Gurakuqi”, Shkodër e të universitetit “Aleksandër Xhuvani”, Elbasan, në programin e studimit të ciklit të parë “Pedagogji e specializuar”, në universitetin “Ismail Qemali”, Vlorë, dhe në programin e studimit të “Arkitekturës” të Universitetit Politeknik të Tiranës, duhen të plotësojnë edhe kriteret e veçanta (përfshirë këtu konkurset e pranimit), të vendosura nga vetë këto institucione.</w:t>
      </w:r>
    </w:p>
    <w:p w:rsidR="00165C77" w:rsidRDefault="00165C77" w:rsidP="00165C77">
      <w:pPr>
        <w:pStyle w:val="Paragrafi0"/>
      </w:pPr>
      <w:r>
        <w:t>17. Studentët, që vijojnë një program të dytë studimit i nënshtrohen tarifës vjetore të shkollimit të njëjtë me koston e plotë të studimeve, të përcaktuar në tabelën nr.3, bashkëlidhur këtij vendimi (kolona 3). Nga ky rregull përjashtohen vetëm studentët e shkëlqyer.</w:t>
      </w:r>
    </w:p>
    <w:p w:rsidR="00165C77" w:rsidRDefault="00165C77" w:rsidP="00165C77">
      <w:pPr>
        <w:pStyle w:val="Paragrafi0"/>
      </w:pPr>
      <w:r>
        <w:lastRenderedPageBreak/>
        <w:t>18. Shtetasit e huaj, që vazhdojnë studimet në një program të dytë studimi në institucionet publike të arsimit të lartë, i nënshtrohen së njëjtës tarifë shkollimi, si shtetasit shqiptarë, me përjashtim të rasteve kur, me marrëveshje zyrtare shtetërore, janë vendosur mënyra të tjera të përcaktimit të tarifave të shkollimit.</w:t>
      </w:r>
    </w:p>
    <w:p w:rsidR="002F6442" w:rsidRPr="002F6442" w:rsidRDefault="002F6442" w:rsidP="002F6442">
      <w:pPr>
        <w:pStyle w:val="Paragrafi0"/>
        <w:rPr>
          <w:i/>
        </w:rPr>
      </w:pPr>
      <w:r>
        <w:rPr>
          <w:i/>
        </w:rPr>
        <w:t xml:space="preserve">19. </w:t>
      </w:r>
      <w:r w:rsidRPr="002F6442">
        <w:rPr>
          <w:i/>
        </w:rPr>
        <w:t xml:space="preserve">Pranimi i studentëve në shkollat e larta publike bëhet në dy raunde dhe mbështetet në rezultatet e shkollës së mesme, të Maturës Shtetërore (merita), si dhe përzgjedhjes së programeve të studimit (preferenca) të bërë nga vetë kandidati/ja. </w:t>
      </w:r>
    </w:p>
    <w:p w:rsidR="002F6442" w:rsidRPr="002F6442" w:rsidRDefault="002F6442" w:rsidP="002F6442">
      <w:pPr>
        <w:pStyle w:val="Paragrafi0"/>
        <w:rPr>
          <w:i/>
        </w:rPr>
      </w:pPr>
      <w:r w:rsidRPr="002F6442">
        <w:rPr>
          <w:i/>
        </w:rPr>
        <w:t xml:space="preserve">Kuotat, që mbeten të parealizuara, rishpërndahen nga Ministria e Arsimit dhe Shkencës në bazë të propozimeve të institucioneve publike të arsimit të lartë. Shpërndarja e kuotave realizohet nëpërmjet plotësimit të formularit të ri të aplikimit (A3) sipas preferencave të kandidatëve. </w:t>
      </w:r>
    </w:p>
    <w:p w:rsidR="002F6442" w:rsidRPr="002F6442" w:rsidRDefault="002F6442" w:rsidP="002F6442">
      <w:pPr>
        <w:pStyle w:val="Paragrafi0"/>
        <w:rPr>
          <w:i/>
        </w:rPr>
      </w:pPr>
      <w:r w:rsidRPr="002F6442">
        <w:rPr>
          <w:i/>
        </w:rPr>
        <w:t xml:space="preserve">Kanë të drejtë te plotësojnë formularin A3 të gjithë kandidatët, të cilët kanë aplikuar me formularin A2 dhe nuk figurojnë të regjistruar në asnjë program studimi edhe pas mbylljes së fazës përfundimtare të regjistrimeve. </w:t>
      </w:r>
    </w:p>
    <w:p w:rsidR="00165C77" w:rsidRPr="002F6442" w:rsidRDefault="002F6442" w:rsidP="002F6442">
      <w:pPr>
        <w:pStyle w:val="Paragrafi0"/>
        <w:rPr>
          <w:i/>
        </w:rPr>
      </w:pPr>
      <w:r w:rsidRPr="002F6442">
        <w:rPr>
          <w:i/>
        </w:rPr>
        <w:t>Kuotat e parealizuara pas përfundimit të fazës përfundimtare të regjistrimeve në programet e studimit të ciklit të parë, me kohë të plotë, për vitin akademik 2010-2011, të shpërndahen, sipas tabelës bashkëlidhur këtij vendimi.</w:t>
      </w:r>
    </w:p>
    <w:p w:rsidR="00165C77" w:rsidRDefault="00165C77" w:rsidP="00165C77">
      <w:pPr>
        <w:pStyle w:val="Paragrafi0"/>
      </w:pPr>
      <w:r>
        <w:t>20. Ngarkohen Ministria e Arsimit dhe Shkencës dhe institucionet publike të arsimit të lartë për zbatimin e këtij vendimi.</w:t>
      </w:r>
    </w:p>
    <w:p w:rsidR="00165C77" w:rsidRDefault="00165C77" w:rsidP="00165C77">
      <w:pPr>
        <w:pStyle w:val="Paragrafi0"/>
      </w:pPr>
      <w:r>
        <w:t>Ky vendim hyn në fuqi pas botimit në Fletoren Zyrtare.</w:t>
      </w:r>
    </w:p>
    <w:p w:rsidR="00165C77" w:rsidRDefault="00165C77" w:rsidP="00165C77">
      <w:pPr>
        <w:pStyle w:val="Paragrafi0"/>
      </w:pPr>
    </w:p>
    <w:p w:rsidR="00165C77" w:rsidRDefault="00165C77" w:rsidP="00165C77">
      <w:pPr>
        <w:pStyle w:val="Autoriteti"/>
        <w:keepNext w:val="0"/>
      </w:pPr>
      <w:r>
        <w:t>Kryeministri</w:t>
      </w:r>
    </w:p>
    <w:p w:rsidR="00165C77" w:rsidRDefault="00165C77" w:rsidP="00165C77">
      <w:pPr>
        <w:pStyle w:val="AutoritetiEmer"/>
      </w:pPr>
      <w:r>
        <w:t>Sali Berisha</w:t>
      </w:r>
    </w:p>
    <w:p w:rsidR="00165C77" w:rsidRDefault="00165C77" w:rsidP="00165C77">
      <w:pPr>
        <w:pStyle w:val="Paragrafi0"/>
      </w:pPr>
    </w:p>
    <w:p w:rsidR="00165C77" w:rsidRDefault="00165C77" w:rsidP="00165C77">
      <w:pPr>
        <w:pStyle w:val="Paragrafi0"/>
      </w:pPr>
    </w:p>
    <w:p w:rsidR="00165C77" w:rsidRDefault="00165C77" w:rsidP="00165C77">
      <w:pPr>
        <w:pStyle w:val="Paragrafi0"/>
      </w:pPr>
    </w:p>
    <w:p w:rsidR="00165C77" w:rsidRPr="00165C77" w:rsidRDefault="00165C77" w:rsidP="00165C77">
      <w:pPr>
        <w:pStyle w:val="Tabele"/>
        <w:rPr>
          <w:sz w:val="14"/>
          <w:szCs w:val="14"/>
        </w:rPr>
        <w:sectPr w:rsidR="00165C77" w:rsidRPr="00165C77" w:rsidSect="00165C77">
          <w:pgSz w:w="12240" w:h="15840"/>
          <w:pgMar w:top="1418" w:right="1418" w:bottom="1418" w:left="1418" w:header="1304" w:footer="1134" w:gutter="0"/>
          <w:cols w:space="720"/>
          <w:docGrid w:linePitch="360"/>
        </w:sectPr>
      </w:pPr>
    </w:p>
    <w:p w:rsidR="00165C77" w:rsidRPr="00165C77" w:rsidRDefault="00165C77" w:rsidP="00165C77">
      <w:pPr>
        <w:pStyle w:val="Tabele"/>
        <w:jc w:val="center"/>
        <w:rPr>
          <w:szCs w:val="14"/>
          <w:lang w:val="it-IT"/>
        </w:rPr>
      </w:pPr>
      <w:r w:rsidRPr="00165C77">
        <w:rPr>
          <w:szCs w:val="14"/>
          <w:lang w:val="it-IT"/>
        </w:rPr>
        <w:lastRenderedPageBreak/>
        <w:t>KUOTAT E PRANIMEVE TË REJA PËR VITIN AKADEMIK 2010-2011</w:t>
      </w:r>
    </w:p>
    <w:p w:rsidR="00165C77" w:rsidRPr="00165C77" w:rsidRDefault="00165C77" w:rsidP="00165C77">
      <w:pPr>
        <w:pStyle w:val="Tabele"/>
        <w:jc w:val="center"/>
        <w:rPr>
          <w:sz w:val="14"/>
          <w:szCs w:val="14"/>
        </w:rPr>
      </w:pPr>
      <w:r w:rsidRPr="00165C77">
        <w:rPr>
          <w:caps/>
          <w:sz w:val="14"/>
          <w:szCs w:val="14"/>
        </w:rPr>
        <w:t>Tabela nr.1</w:t>
      </w:r>
    </w:p>
    <w:p w:rsidR="00165C77" w:rsidRPr="00165C77" w:rsidRDefault="00165C77" w:rsidP="00165C77">
      <w:pPr>
        <w:pStyle w:val="Tabele"/>
        <w:rPr>
          <w:sz w:val="14"/>
          <w:szCs w:val="14"/>
        </w:rPr>
      </w:pPr>
    </w:p>
    <w:tbl>
      <w:tblPr>
        <w:tblW w:w="14360" w:type="dxa"/>
        <w:jc w:val="center"/>
        <w:tblLook w:val="04A0" w:firstRow="1" w:lastRow="0" w:firstColumn="1" w:lastColumn="0" w:noHBand="0" w:noVBand="1"/>
      </w:tblPr>
      <w:tblGrid>
        <w:gridCol w:w="500"/>
        <w:gridCol w:w="3000"/>
        <w:gridCol w:w="880"/>
        <w:gridCol w:w="880"/>
        <w:gridCol w:w="840"/>
        <w:gridCol w:w="900"/>
        <w:gridCol w:w="1000"/>
        <w:gridCol w:w="820"/>
        <w:gridCol w:w="960"/>
        <w:gridCol w:w="800"/>
        <w:gridCol w:w="760"/>
        <w:gridCol w:w="880"/>
        <w:gridCol w:w="1020"/>
        <w:gridCol w:w="1120"/>
      </w:tblGrid>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Nr.</w:t>
            </w:r>
          </w:p>
        </w:tc>
        <w:tc>
          <w:tcPr>
            <w:tcW w:w="3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PROGRAMI I STUDIMIT</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UT</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UPT</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UBT</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UE</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UGJ</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smartTag w:uri="urn:schemas-microsoft-com:office:smarttags" w:element="country-region">
              <w:smartTag w:uri="urn:schemas-microsoft-com:office:smarttags" w:element="place">
                <w:r w:rsidRPr="00165C77">
                  <w:rPr>
                    <w:rFonts w:eastAsia="Times New Roman" w:cs="Arial"/>
                    <w:b/>
                    <w:bCs/>
                    <w:sz w:val="14"/>
                    <w:szCs w:val="14"/>
                  </w:rPr>
                  <w:t>UK</w:t>
                </w:r>
              </w:smartTag>
            </w:smartTag>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USH</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UV</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AA</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UST</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UD</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TOTAL</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Histori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190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Gjeografi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190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Histori-Gjeografi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Histori dhe Gjuhë Gjermane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Gjeografi dhe Gjuhë Italiane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 Letërsi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Letërsi-Anglisht (Filiali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Letërsi shqipe dhe frënge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shqipe dhe frënge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color w:val="000000"/>
                <w:sz w:val="14"/>
                <w:szCs w:val="14"/>
              </w:rPr>
            </w:pPr>
            <w:r w:rsidRPr="00165C77">
              <w:rPr>
                <w:rFonts w:eastAsia="Times New Roman" w:cs="Arial"/>
                <w:color w:val="000000"/>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Gazetari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color w:val="000000"/>
                <w:sz w:val="14"/>
                <w:szCs w:val="14"/>
              </w:rPr>
            </w:pPr>
            <w:r w:rsidRPr="00165C77">
              <w:rPr>
                <w:rFonts w:eastAsia="Times New Roman" w:cs="Arial"/>
                <w:color w:val="000000"/>
                <w:sz w:val="14"/>
                <w:szCs w:val="14"/>
              </w:rPr>
              <w:t>60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Gazetari dhe Komunikim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Edukate Qytetare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Angleze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180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14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Angleze (Filiali Sarande)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Angleze (Filiali Kukes)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Frenge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Italiane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Spanjolle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Ruse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Gjermane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Greke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Gjuhë letërsi dhe qyteterim grek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Turke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Cikli i Ulët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CU dhe Anglisht ne Ciklin fillor( Pogradec)</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Cikli i Ulët Parashkollor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Shkenca të lëvizjes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Fushat eveprim. fiz., shënd.,rekreacion.</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Edukim Fizik dhe Sporte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Matematikë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 Matematikë- Fizikë)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Fizikë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 Matematike dhe Informatike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Matematikë-Fizikë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Matematikë-Fizikë (F.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Biologji - Kimi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Biologji-Kimi(F.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Bioteknologji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Biologji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Kimi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Kimi  ushqimore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Kimi Industriale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Aktuaristikë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Nr.</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PROGRAMI I STUDIMIT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UPT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UBT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UE</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UGJ</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USH</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UV</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AA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UST</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UD</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TOTAL</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44</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Matematikë-Financë</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45</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Matematikë-Informatikë</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270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46</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Matematikë-Informatikë (F. Peshkopi)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47</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Informatikë</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200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650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48</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Informatikë-Anglisht(F. Peshkopi)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Fizikë dhe Teknologji Informacioni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lastRenderedPageBreak/>
              <w:t>50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Teknologji Informacioni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710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Teknologji Informacioni dhe Komunikimi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Shkencat Kompjutacionale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Shkencat Kompjuterike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Sistemet e informacionit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Administrim dhe Pune sociale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Punë Sociale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Filozofi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Filozofi-Sociologji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Sociologji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Pedagogji e Specializuar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Psikologji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Psikologji-Sociologji(F.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Shkencat Politike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Drejtësi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790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Regji Filmi dhe TV</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Aktrim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Regji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Skenografi-Kostumografi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Koreografi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Pikture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Skulpture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Muzikologji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Kompozim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Dirigjim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Piano</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Violine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Violonçel</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Viole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Kitare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Kontrabas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Flaut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Oboe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Klarinete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Fagot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Korno</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Trombe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Trombon</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Bastub</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Kengetar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Fizarmonike klasike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Nr.</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PROGRAMI I STUDIMIT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UPT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UBT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UE</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UGJ</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USH</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UV</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AA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UST</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UD</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TOTAL</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91</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Pedagogji muzikore</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9</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Shendeti Publik</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93</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Mjekësi e Pergjithshme</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220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220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94</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Stomatologji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Farmaci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Infermieri e Pergjithshme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250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730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97</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Infermieri (Kukës)</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98</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Mami  (Infermieri)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Teknik i Larte Laboratori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Fizioterapi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25</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75</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Logopedi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Imazheri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lastRenderedPageBreak/>
              <w:t>103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Administrim Publik</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Administrim-Biznes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Ekonomiks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Ekonomia dhe E drejta</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Financë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Finance-Kontabilitet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980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Informatike Ekonomike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Administ-Biznes(Turizem)Fil.Sarande)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Administrim-Biznes (Fil.Kukës)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Turizëm (Menaxhim)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Turizem, filiali Pogradec</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Marketing</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Navigacioni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Navigacioni ( Peshkim Detar)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Mekanike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Mekanike ( Inxhinieri Navale)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Metalurgji Materiale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Tekstile dhe Mode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Inxhnieri ekonomike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Elektrike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Elektrike (Energjitike)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nil"/>
              <w:right w:val="nil"/>
            </w:tcBorders>
            <w:shd w:val="clear" w:color="auto" w:fill="auto"/>
            <w:noWrap/>
            <w:vAlign w:val="bottom"/>
          </w:tcPr>
          <w:p w:rsidR="00165C77" w:rsidRPr="00165C77" w:rsidRDefault="00165C77" w:rsidP="00165C77">
            <w:pPr>
              <w:pStyle w:val="Tabele"/>
              <w:rPr>
                <w:rFonts w:eastAsia="Times New Roman" w:cs="Arial"/>
                <w:sz w:val="14"/>
                <w:szCs w:val="14"/>
              </w:rPr>
            </w:pPr>
          </w:p>
        </w:tc>
        <w:tc>
          <w:tcPr>
            <w:tcW w:w="76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Elektrike (Aut. Industrise)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Elektronike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Informatike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Telekomunikacioni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Mekatronike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Ndertimi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Hidroteknike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Arkitekturë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Matematike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Fizike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Gjeodet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Mjedisi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ne Shkencat e Tokes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Nr.</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PROGRAMI I STUDIMIT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UPT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UBT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UE</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UGJ</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USH</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UV</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AA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UST</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UD</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TOTAL</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138</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 Inxhinieri Gjeoinformatike</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i Gjeoburimeve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Agrobiznesi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210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141</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Agrobiznesi(Fil.Lushnje)</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142</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Ekonomi dhe Politike Agrare</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Finance-Kontabilitet(Filiali Lushnje)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Mbrojtje Bimësh</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Hortikulturë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Hortikulturë (Filiali Lushnje)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147</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Prodhim bimor</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148</w:t>
            </w:r>
          </w:p>
        </w:tc>
        <w:tc>
          <w:tcPr>
            <w:tcW w:w="3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Zootekni dhe Biznes Blegtoral</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149</w:t>
            </w:r>
          </w:p>
        </w:tc>
        <w:tc>
          <w:tcPr>
            <w:tcW w:w="3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Akuakulturë dhe Menaxh.. Peshkimi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Agromjedisi dhe Ekologji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Teknologji Agroushqimore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Vreshtari-Enologji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Pyjesh</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Perpunim Druri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Mjekesi Veterinare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lastRenderedPageBreak/>
              <w:t>156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Agromekanizim(Inxh.Agrare)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Agromekanizim(Inxh.Agr.Filiali. Lushnje.)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Teknologji e prodhimit bimor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Agroushqim(Inxh. Agronimike)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Shkenca të Administrimit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250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Turizmi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Cikli i Ulët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Ekspert në Proceset e Formimit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Ekspert në Proc.e Form.(Fil.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Informatikë(Spec. Rrjetash. Kompjuterike.)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Informatikë(Spec. Rrj. Komp. 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Ndërtimi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Shk.të Administ.(Menaxhim Transporti)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 Mekanike(Teknologji Automobilash)</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Drejtësi(Asistent ligjor)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Drejtësi(Asistent ligjor)F.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 të Admiistrimit.(As. Administrativ)</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Infermieri e Pergjithshme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Infermieri e pergjithshme(F.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Ndihmës dentist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 të Adm.(. Financ.-Kont.)Peshkopi)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 të Adm. (Financ.Bank)Peshkopi.)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 të Adm.(Men.. Mark)Peshkopi)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 të Adm. (Admi. Biz.)Peshkopi)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180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Banka ( FASTIP)</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181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Turizmi ( FASTIP)</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182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i SME-ve ( FASTIP)</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GJITHSEJ</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5940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2170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1570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2090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1630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1580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2015</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2750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180</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1600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21725</w:t>
            </w:r>
          </w:p>
        </w:tc>
      </w:tr>
    </w:tbl>
    <w:p w:rsidR="00165C77" w:rsidRPr="00165C77" w:rsidRDefault="00165C77" w:rsidP="00165C77">
      <w:pPr>
        <w:pStyle w:val="Tabele"/>
        <w:rPr>
          <w:sz w:val="14"/>
          <w:szCs w:val="14"/>
        </w:rPr>
      </w:pPr>
    </w:p>
    <w:p w:rsidR="00165C77" w:rsidRPr="00165C77" w:rsidRDefault="00165C77" w:rsidP="00165C77">
      <w:pPr>
        <w:pStyle w:val="Tabele"/>
        <w:rPr>
          <w:sz w:val="14"/>
          <w:szCs w:val="14"/>
        </w:rPr>
      </w:pPr>
      <w:r w:rsidRPr="00165C77">
        <w:rPr>
          <w:sz w:val="14"/>
          <w:szCs w:val="14"/>
        </w:rPr>
        <w:t>Kuotat për kandidatët nga trojet për vitin akademik 2010-2011</w:t>
      </w:r>
    </w:p>
    <w:p w:rsidR="00165C77" w:rsidRPr="00165C77" w:rsidRDefault="00165C77" w:rsidP="00165C77">
      <w:pPr>
        <w:pStyle w:val="Tabele"/>
        <w:rPr>
          <w:sz w:val="14"/>
          <w:szCs w:val="14"/>
        </w:rPr>
      </w:pPr>
      <w:r w:rsidRPr="00165C77">
        <w:rPr>
          <w:caps/>
          <w:sz w:val="14"/>
          <w:szCs w:val="14"/>
        </w:rPr>
        <w:t>Tabela nr.2</w:t>
      </w:r>
    </w:p>
    <w:tbl>
      <w:tblPr>
        <w:tblW w:w="5033" w:type="pct"/>
        <w:jc w:val="center"/>
        <w:tblLook w:val="04A0" w:firstRow="1" w:lastRow="0" w:firstColumn="1" w:lastColumn="0" w:noHBand="0" w:noVBand="1"/>
      </w:tblPr>
      <w:tblGrid>
        <w:gridCol w:w="450"/>
        <w:gridCol w:w="2099"/>
        <w:gridCol w:w="403"/>
        <w:gridCol w:w="419"/>
        <w:gridCol w:w="504"/>
        <w:gridCol w:w="512"/>
        <w:gridCol w:w="411"/>
        <w:gridCol w:w="411"/>
        <w:gridCol w:w="419"/>
        <w:gridCol w:w="504"/>
        <w:gridCol w:w="496"/>
        <w:gridCol w:w="496"/>
        <w:gridCol w:w="403"/>
        <w:gridCol w:w="496"/>
        <w:gridCol w:w="504"/>
        <w:gridCol w:w="411"/>
        <w:gridCol w:w="411"/>
        <w:gridCol w:w="419"/>
        <w:gridCol w:w="419"/>
        <w:gridCol w:w="496"/>
        <w:gridCol w:w="450"/>
        <w:gridCol w:w="450"/>
        <w:gridCol w:w="496"/>
        <w:gridCol w:w="504"/>
        <w:gridCol w:w="512"/>
        <w:gridCol w:w="411"/>
        <w:gridCol w:w="496"/>
        <w:gridCol w:w="419"/>
        <w:gridCol w:w="419"/>
        <w:gridCol w:w="450"/>
        <w:gridCol w:w="496"/>
        <w:gridCol w:w="504"/>
        <w:gridCol w:w="419"/>
        <w:gridCol w:w="512"/>
        <w:gridCol w:w="419"/>
        <w:gridCol w:w="504"/>
        <w:gridCol w:w="411"/>
        <w:gridCol w:w="496"/>
        <w:gridCol w:w="411"/>
        <w:gridCol w:w="683"/>
      </w:tblGrid>
      <w:tr w:rsidR="00165C77" w:rsidRPr="00165C77" w:rsidTr="00165C77">
        <w:trPr>
          <w:trHeight w:val="139"/>
          <w:jc w:val="center"/>
        </w:trPr>
        <w:tc>
          <w:tcPr>
            <w:tcW w:w="11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Nr.</w:t>
            </w:r>
          </w:p>
        </w:tc>
        <w:tc>
          <w:tcPr>
            <w:tcW w:w="38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PROGRAMI I STUDIMIT</w:t>
            </w:r>
          </w:p>
        </w:tc>
        <w:tc>
          <w:tcPr>
            <w:tcW w:w="1202" w:type="pct"/>
            <w:gridSpan w:val="10"/>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KOSOVA</w:t>
            </w:r>
          </w:p>
        </w:tc>
        <w:tc>
          <w:tcPr>
            <w:tcW w:w="1033" w:type="pct"/>
            <w:gridSpan w:val="9"/>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MAQEDONIA</w:t>
            </w:r>
          </w:p>
        </w:tc>
        <w:tc>
          <w:tcPr>
            <w:tcW w:w="940" w:type="pct"/>
            <w:gridSpan w:val="8"/>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xml:space="preserve">    MALI I ZI</w:t>
            </w:r>
          </w:p>
        </w:tc>
        <w:tc>
          <w:tcPr>
            <w:tcW w:w="1172" w:type="pct"/>
            <w:gridSpan w:val="10"/>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PRESHEVA</w:t>
            </w:r>
          </w:p>
        </w:tc>
        <w:tc>
          <w:tcPr>
            <w:tcW w:w="16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TOTAL</w:t>
            </w:r>
          </w:p>
        </w:tc>
      </w:tr>
      <w:tr w:rsidR="00165C77" w:rsidRPr="00165C77" w:rsidTr="00165C77">
        <w:trPr>
          <w:trHeight w:val="139"/>
          <w:jc w:val="center"/>
        </w:trPr>
        <w:tc>
          <w:tcPr>
            <w:tcW w:w="112" w:type="pct"/>
            <w:vMerge/>
            <w:tcBorders>
              <w:top w:val="single" w:sz="4" w:space="0" w:color="auto"/>
              <w:left w:val="single" w:sz="4" w:space="0" w:color="auto"/>
              <w:bottom w:val="single" w:sz="4" w:space="0" w:color="000000"/>
              <w:right w:val="single" w:sz="4" w:space="0" w:color="auto"/>
            </w:tcBorders>
            <w:vAlign w:val="center"/>
          </w:tcPr>
          <w:p w:rsidR="00165C77" w:rsidRPr="00165C77" w:rsidRDefault="00165C77" w:rsidP="00165C77">
            <w:pPr>
              <w:pStyle w:val="Tabele"/>
              <w:rPr>
                <w:rFonts w:ascii="Arial" w:eastAsia="Times New Roman" w:hAnsi="Arial" w:cs="Arial"/>
                <w:sz w:val="14"/>
                <w:szCs w:val="14"/>
              </w:rPr>
            </w:pPr>
          </w:p>
        </w:tc>
        <w:tc>
          <w:tcPr>
            <w:tcW w:w="382" w:type="pct"/>
            <w:vMerge/>
            <w:tcBorders>
              <w:top w:val="single" w:sz="4" w:space="0" w:color="auto"/>
              <w:left w:val="single" w:sz="4" w:space="0" w:color="auto"/>
              <w:bottom w:val="single" w:sz="4" w:space="0" w:color="000000"/>
              <w:right w:val="single" w:sz="4" w:space="0" w:color="auto"/>
            </w:tcBorders>
            <w:vAlign w:val="center"/>
          </w:tcPr>
          <w:p w:rsidR="00165C77" w:rsidRPr="00165C77" w:rsidRDefault="00165C77" w:rsidP="00165C77">
            <w:pPr>
              <w:pStyle w:val="Tabele"/>
              <w:rPr>
                <w:rFonts w:ascii="Arial" w:eastAsia="Times New Roman" w:hAnsi="Arial" w:cs="Arial"/>
                <w:b/>
                <w:bCs/>
                <w:sz w:val="14"/>
                <w:szCs w:val="14"/>
              </w:rPr>
            </w:pP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UT</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AA</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UBT</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USH</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UE</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UD</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UGJ</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UVL</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UPT</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UT</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UPT</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UBT</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UE</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UD</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AA</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UVL</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UK</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UT</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UPT</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UBT</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USH</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UVL</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UD</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AA</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UT</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UPT</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UBT</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AA</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USH</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UD</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UGJ</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UE</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UVL</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S</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Histori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Gjeografi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9</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Histori-Gjeografi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 Letersi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Edukim Qytetar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angleze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43</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angleze(Fil. Kukes)</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italiane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frenge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gjermane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greke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Matem. dhe Informa.</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Cikli i Ulet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Cikli i Ulet Parashkollor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Edukim Fizik dhe Sporte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19</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xml:space="preserve">Matematikë </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Matematike - Fizikë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Teknologji Informacioni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Matem.dhe Informat.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Matematike-Informatikë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Fizikë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Biologji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lastRenderedPageBreak/>
              <w:t>23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Bioteknologji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Biologji-Kimi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xml:space="preserve">Kimi </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Kimi Ushqimore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Kimi Industriale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Teknologji informacioni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Informatikë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Gazetari(Komunikim)</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Punë Sociale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Sociologji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Filozofi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Filozofi (Sociologji)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8</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Psikologji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Pedagogji e specializuar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Shkencat Politike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Drejtësi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28</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Art Skenik</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Arte Figurative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Muzikë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Mjekësi e Përgjithshme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Stomatologji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20</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Farmaci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Shendet Publik</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Infermieri e Pergjithshme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12</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Mami(Infermieri)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Teknik i Larte Laboratori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Fizioterapi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15</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Ekonomiks</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Adm-Biznes(Turizem)Sarandë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Adminstrim-Biznesi(Kukës)</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22</w:t>
            </w:r>
          </w:p>
        </w:tc>
      </w:tr>
      <w:tr w:rsidR="00165C77" w:rsidRPr="00165C77"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53</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angleze(Kukes)</w:t>
            </w:r>
          </w:p>
        </w:tc>
        <w:tc>
          <w:tcPr>
            <w:tcW w:w="141"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54</w:t>
            </w:r>
          </w:p>
        </w:tc>
        <w:tc>
          <w:tcPr>
            <w:tcW w:w="38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Administrim-Publik</w:t>
            </w:r>
          </w:p>
        </w:tc>
        <w:tc>
          <w:tcPr>
            <w:tcW w:w="141"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Administrim.-Biznes</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15</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40</w:t>
            </w:r>
          </w:p>
        </w:tc>
      </w:tr>
      <w:tr w:rsidR="00165C77" w:rsidRPr="00165C77"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56</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Finane-Kontabilitet</w:t>
            </w:r>
          </w:p>
        </w:tc>
        <w:tc>
          <w:tcPr>
            <w:tcW w:w="141"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42</w:t>
            </w:r>
          </w:p>
        </w:tc>
      </w:tr>
      <w:tr w:rsidR="00165C77" w:rsidRPr="00165C77"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57</w:t>
            </w:r>
          </w:p>
        </w:tc>
        <w:tc>
          <w:tcPr>
            <w:tcW w:w="38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Informatike Ekonomike</w:t>
            </w:r>
          </w:p>
        </w:tc>
        <w:tc>
          <w:tcPr>
            <w:tcW w:w="141"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Turizëm</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30</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Turizem, Fil. Pogradec</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Marketing</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Ekonomia dhe E drejta</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Elektrike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Informatike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Telekomunikacioni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Mekanike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Materiale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Gjeodezie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Tekstile dhe Mode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Elektronike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Ndertimi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Arkitekturë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Hidroteknike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Mjedisi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Matematike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Fizike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Mekatronike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lastRenderedPageBreak/>
              <w:t>77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Ne Shken. Tokes</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Pedagogji e specializuar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Navigacioni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Menaxhim Agrobiznesi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Ekonomi dhe P. Agrare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Financë-Kontabilitet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Mbrojtje Bimësh</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Hortikulturë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Agromekanizim</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Agroushqim</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Prodhim Bimor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Zootek. dhe Bizn. Blektoral</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Akuakultu. Dhe M. Peshkimi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Agromjedis dhe Ekologji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Teknologji Agroushqimore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Vreshtari-Enologji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Pyjesh</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Përpunim Druri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Mjekesi veterinare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Teknologji e prodh. Bimor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Shkenca të Administrimit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Menaxhim Turizmi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Ekspert në P. e Formimit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Asistent Ligjor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Asistent Administrativ</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Infermieri e Pergjithshme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Ndihmës Dentist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Spec. Rrjetash Kompjuterike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Menaxhim  Ndertimi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Menaxhim Transporti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Teknologji Automobilash</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xml:space="preserve">      GJITHSEJ</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92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36</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17</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12</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70</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18</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30</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107</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109</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28</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28</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183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28</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12</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24</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70</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1264</w:t>
            </w:r>
          </w:p>
        </w:tc>
      </w:tr>
    </w:tbl>
    <w:p w:rsidR="00165C77" w:rsidRPr="00165C77" w:rsidRDefault="00165C77" w:rsidP="00165C77">
      <w:pPr>
        <w:pStyle w:val="Tabele"/>
        <w:rPr>
          <w:sz w:val="14"/>
          <w:szCs w:val="14"/>
        </w:rPr>
        <w:sectPr w:rsidR="00165C77" w:rsidRPr="00165C77" w:rsidSect="00165C77">
          <w:pgSz w:w="15840" w:h="12240" w:orient="landscape"/>
          <w:pgMar w:top="1418" w:right="1418" w:bottom="1418" w:left="1418" w:header="1304" w:footer="1134" w:gutter="0"/>
          <w:cols w:space="720"/>
          <w:docGrid w:linePitch="360"/>
        </w:sectPr>
      </w:pPr>
      <w:r w:rsidRPr="00165C77">
        <w:rPr>
          <w:sz w:val="14"/>
          <w:szCs w:val="14"/>
        </w:rPr>
        <w:t>1.Preshevë,Medvegjë,Bujanovc</w:t>
      </w:r>
    </w:p>
    <w:p w:rsidR="00165C77" w:rsidRDefault="002F6442" w:rsidP="002F6442">
      <w:pPr>
        <w:pStyle w:val="TitulliTitull"/>
        <w:keepNext w:val="0"/>
        <w:rPr>
          <w:i/>
          <w:caps w:val="0"/>
        </w:rPr>
      </w:pPr>
      <w:r w:rsidRPr="002F6442">
        <w:rPr>
          <w:i/>
          <w:caps w:val="0"/>
        </w:rPr>
        <w:lastRenderedPageBreak/>
        <w:t>(Zëvendësuar tabela nr. 3 me vkm nr. 847, datë 13.10.2010)</w:t>
      </w:r>
    </w:p>
    <w:p w:rsidR="002F6442" w:rsidRDefault="002F6442" w:rsidP="002F6442">
      <w:pPr>
        <w:pStyle w:val="TitulliTitull"/>
        <w:keepNext w:val="0"/>
        <w:ind w:left="5040" w:firstLine="720"/>
        <w:rPr>
          <w:i/>
          <w:caps w:val="0"/>
        </w:rPr>
      </w:pPr>
    </w:p>
    <w:p w:rsidR="002F6442" w:rsidRPr="00207130" w:rsidRDefault="002F6442" w:rsidP="002F6442">
      <w:pPr>
        <w:pStyle w:val="Paragrafi0"/>
        <w:ind w:firstLine="0"/>
        <w:jc w:val="center"/>
        <w:rPr>
          <w:sz w:val="21"/>
          <w:szCs w:val="21"/>
          <w:lang w:val="sq-AL"/>
        </w:rPr>
      </w:pPr>
      <w:r w:rsidRPr="00207130">
        <w:rPr>
          <w:noProof/>
          <w:sz w:val="21"/>
          <w:szCs w:val="21"/>
        </w:rPr>
        <w:drawing>
          <wp:inline distT="0" distB="0" distL="0" distR="0" wp14:anchorId="3C6A0958" wp14:editId="4AF5546D">
            <wp:extent cx="5819775" cy="7877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9775" cy="7877175"/>
                    </a:xfrm>
                    <a:prstGeom prst="rect">
                      <a:avLst/>
                    </a:prstGeom>
                    <a:noFill/>
                    <a:ln>
                      <a:noFill/>
                    </a:ln>
                  </pic:spPr>
                </pic:pic>
              </a:graphicData>
            </a:graphic>
          </wp:inline>
        </w:drawing>
      </w:r>
    </w:p>
    <w:p w:rsidR="002F6442" w:rsidRPr="00207130" w:rsidRDefault="002F6442" w:rsidP="002F6442">
      <w:pPr>
        <w:pStyle w:val="Paragrafi0"/>
        <w:ind w:firstLine="0"/>
        <w:rPr>
          <w:sz w:val="21"/>
          <w:szCs w:val="21"/>
          <w:lang w:val="sq-AL"/>
        </w:rPr>
      </w:pPr>
      <w:r w:rsidRPr="00207130">
        <w:rPr>
          <w:noProof/>
          <w:sz w:val="21"/>
          <w:szCs w:val="21"/>
        </w:rPr>
        <w:lastRenderedPageBreak/>
        <w:drawing>
          <wp:inline distT="0" distB="0" distL="0" distR="0" wp14:anchorId="40B4C32C" wp14:editId="71B04633">
            <wp:extent cx="5819775" cy="8001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9775" cy="8001000"/>
                    </a:xfrm>
                    <a:prstGeom prst="rect">
                      <a:avLst/>
                    </a:prstGeom>
                    <a:noFill/>
                    <a:ln>
                      <a:noFill/>
                    </a:ln>
                  </pic:spPr>
                </pic:pic>
              </a:graphicData>
            </a:graphic>
          </wp:inline>
        </w:drawing>
      </w: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ind w:firstLine="0"/>
        <w:jc w:val="center"/>
        <w:rPr>
          <w:sz w:val="21"/>
          <w:szCs w:val="21"/>
          <w:lang w:val="sq-AL"/>
        </w:rPr>
      </w:pPr>
      <w:r w:rsidRPr="00207130">
        <w:rPr>
          <w:noProof/>
          <w:sz w:val="21"/>
          <w:szCs w:val="21"/>
        </w:rPr>
        <w:drawing>
          <wp:inline distT="0" distB="0" distL="0" distR="0" wp14:anchorId="1281FCDB" wp14:editId="1FCE0772">
            <wp:extent cx="5476875" cy="8001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6875" cy="8001000"/>
                    </a:xfrm>
                    <a:prstGeom prst="rect">
                      <a:avLst/>
                    </a:prstGeom>
                    <a:noFill/>
                    <a:ln>
                      <a:noFill/>
                    </a:ln>
                  </pic:spPr>
                </pic:pic>
              </a:graphicData>
            </a:graphic>
          </wp:inline>
        </w:drawing>
      </w:r>
    </w:p>
    <w:p w:rsidR="002F6442" w:rsidRPr="00207130" w:rsidRDefault="002F6442" w:rsidP="002F6442">
      <w:pPr>
        <w:pStyle w:val="Paragrafi0"/>
        <w:ind w:firstLine="0"/>
        <w:rPr>
          <w:sz w:val="21"/>
          <w:szCs w:val="21"/>
          <w:lang w:val="sq-AL"/>
        </w:rPr>
      </w:pPr>
      <w:r w:rsidRPr="00207130">
        <w:rPr>
          <w:noProof/>
          <w:sz w:val="21"/>
          <w:szCs w:val="21"/>
        </w:rPr>
        <w:lastRenderedPageBreak/>
        <w:drawing>
          <wp:inline distT="0" distB="0" distL="0" distR="0" wp14:anchorId="3E00687F" wp14:editId="30B59FF0">
            <wp:extent cx="5705475" cy="72009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5475" cy="7200900"/>
                    </a:xfrm>
                    <a:prstGeom prst="rect">
                      <a:avLst/>
                    </a:prstGeom>
                    <a:noFill/>
                    <a:ln>
                      <a:noFill/>
                    </a:ln>
                  </pic:spPr>
                </pic:pic>
              </a:graphicData>
            </a:graphic>
          </wp:inline>
        </w:drawing>
      </w: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ind w:firstLine="0"/>
        <w:jc w:val="center"/>
        <w:rPr>
          <w:sz w:val="21"/>
          <w:szCs w:val="21"/>
          <w:lang w:val="sq-AL"/>
        </w:rPr>
      </w:pPr>
      <w:r w:rsidRPr="00207130">
        <w:rPr>
          <w:noProof/>
          <w:sz w:val="21"/>
          <w:szCs w:val="21"/>
        </w:rPr>
        <w:lastRenderedPageBreak/>
        <w:drawing>
          <wp:inline distT="0" distB="0" distL="0" distR="0" wp14:anchorId="42C57ED2" wp14:editId="2D9F26D1">
            <wp:extent cx="5591175" cy="77724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1175" cy="7772400"/>
                    </a:xfrm>
                    <a:prstGeom prst="rect">
                      <a:avLst/>
                    </a:prstGeom>
                    <a:noFill/>
                    <a:ln>
                      <a:noFill/>
                    </a:ln>
                  </pic:spPr>
                </pic:pic>
              </a:graphicData>
            </a:graphic>
          </wp:inline>
        </w:drawing>
      </w: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ind w:firstLine="0"/>
        <w:jc w:val="center"/>
        <w:rPr>
          <w:sz w:val="21"/>
          <w:szCs w:val="21"/>
          <w:lang w:val="sq-AL"/>
        </w:rPr>
      </w:pPr>
      <w:r w:rsidRPr="00207130">
        <w:rPr>
          <w:noProof/>
          <w:sz w:val="21"/>
          <w:szCs w:val="21"/>
        </w:rPr>
        <w:drawing>
          <wp:inline distT="0" distB="0" distL="0" distR="0" wp14:anchorId="4DA0E250" wp14:editId="3016EE5B">
            <wp:extent cx="5715000" cy="75533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7553325"/>
                    </a:xfrm>
                    <a:prstGeom prst="rect">
                      <a:avLst/>
                    </a:prstGeom>
                    <a:noFill/>
                    <a:ln>
                      <a:noFill/>
                    </a:ln>
                  </pic:spPr>
                </pic:pic>
              </a:graphicData>
            </a:graphic>
          </wp:inline>
        </w:drawing>
      </w: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ind w:firstLine="0"/>
        <w:rPr>
          <w:sz w:val="21"/>
          <w:szCs w:val="21"/>
          <w:lang w:val="sq-AL"/>
        </w:rPr>
      </w:pPr>
      <w:r w:rsidRPr="00207130">
        <w:rPr>
          <w:noProof/>
          <w:sz w:val="21"/>
          <w:szCs w:val="21"/>
        </w:rPr>
        <w:drawing>
          <wp:inline distT="0" distB="0" distL="0" distR="0" wp14:anchorId="7AC2E3FC" wp14:editId="21B12CF7">
            <wp:extent cx="5829300" cy="7543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29300" cy="7543800"/>
                    </a:xfrm>
                    <a:prstGeom prst="rect">
                      <a:avLst/>
                    </a:prstGeom>
                    <a:noFill/>
                    <a:ln>
                      <a:noFill/>
                    </a:ln>
                  </pic:spPr>
                </pic:pic>
              </a:graphicData>
            </a:graphic>
          </wp:inline>
        </w:drawing>
      </w: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ind w:firstLine="0"/>
        <w:rPr>
          <w:sz w:val="21"/>
          <w:szCs w:val="21"/>
          <w:lang w:val="sq-AL"/>
        </w:rPr>
      </w:pPr>
      <w:r w:rsidRPr="00207130">
        <w:rPr>
          <w:noProof/>
          <w:sz w:val="21"/>
          <w:szCs w:val="21"/>
        </w:rPr>
        <w:drawing>
          <wp:inline distT="0" distB="0" distL="0" distR="0" wp14:anchorId="2516C14B" wp14:editId="7502319C">
            <wp:extent cx="5600700" cy="777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0700" cy="7772400"/>
                    </a:xfrm>
                    <a:prstGeom prst="rect">
                      <a:avLst/>
                    </a:prstGeom>
                    <a:noFill/>
                    <a:ln>
                      <a:noFill/>
                    </a:ln>
                  </pic:spPr>
                </pic:pic>
              </a:graphicData>
            </a:graphic>
          </wp:inline>
        </w:drawing>
      </w: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ind w:firstLine="0"/>
        <w:jc w:val="center"/>
        <w:rPr>
          <w:sz w:val="21"/>
          <w:szCs w:val="21"/>
          <w:lang w:val="sq-AL"/>
        </w:rPr>
      </w:pPr>
      <w:r w:rsidRPr="00207130">
        <w:rPr>
          <w:noProof/>
          <w:sz w:val="21"/>
          <w:szCs w:val="21"/>
        </w:rPr>
        <w:lastRenderedPageBreak/>
        <w:drawing>
          <wp:inline distT="0" distB="0" distL="0" distR="0" wp14:anchorId="703625EE" wp14:editId="685A09D4">
            <wp:extent cx="5476875" cy="7315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7315200"/>
                    </a:xfrm>
                    <a:prstGeom prst="rect">
                      <a:avLst/>
                    </a:prstGeom>
                    <a:noFill/>
                    <a:ln>
                      <a:noFill/>
                    </a:ln>
                  </pic:spPr>
                </pic:pic>
              </a:graphicData>
            </a:graphic>
          </wp:inline>
        </w:drawing>
      </w: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ind w:firstLine="0"/>
        <w:rPr>
          <w:sz w:val="21"/>
          <w:szCs w:val="21"/>
          <w:lang w:val="sq-AL"/>
        </w:rPr>
      </w:pPr>
      <w:r w:rsidRPr="00207130">
        <w:rPr>
          <w:noProof/>
          <w:sz w:val="21"/>
          <w:szCs w:val="21"/>
        </w:rPr>
        <w:lastRenderedPageBreak/>
        <w:drawing>
          <wp:inline distT="0" distB="0" distL="0" distR="0" wp14:anchorId="6137F948" wp14:editId="3B63353E">
            <wp:extent cx="5600700" cy="7658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0700" cy="7658100"/>
                    </a:xfrm>
                    <a:prstGeom prst="rect">
                      <a:avLst/>
                    </a:prstGeom>
                    <a:noFill/>
                    <a:ln>
                      <a:noFill/>
                    </a:ln>
                  </pic:spPr>
                </pic:pic>
              </a:graphicData>
            </a:graphic>
          </wp:inline>
        </w:drawing>
      </w: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ind w:firstLine="0"/>
        <w:jc w:val="center"/>
        <w:rPr>
          <w:sz w:val="21"/>
          <w:szCs w:val="21"/>
          <w:lang w:val="sq-AL"/>
        </w:rPr>
      </w:pPr>
      <w:r w:rsidRPr="00207130">
        <w:rPr>
          <w:noProof/>
          <w:sz w:val="21"/>
          <w:szCs w:val="21"/>
        </w:rPr>
        <w:lastRenderedPageBreak/>
        <w:drawing>
          <wp:inline distT="0" distB="0" distL="0" distR="0" wp14:anchorId="67FE6F8D" wp14:editId="270A60DF">
            <wp:extent cx="5372100" cy="6972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72100" cy="6972300"/>
                    </a:xfrm>
                    <a:prstGeom prst="rect">
                      <a:avLst/>
                    </a:prstGeom>
                    <a:noFill/>
                    <a:ln>
                      <a:noFill/>
                    </a:ln>
                  </pic:spPr>
                </pic:pic>
              </a:graphicData>
            </a:graphic>
          </wp:inline>
        </w:drawing>
      </w: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ind w:firstLine="0"/>
        <w:rPr>
          <w:sz w:val="21"/>
          <w:szCs w:val="21"/>
          <w:lang w:val="sq-AL"/>
        </w:rPr>
      </w:pPr>
      <w:r w:rsidRPr="00207130">
        <w:rPr>
          <w:noProof/>
          <w:sz w:val="21"/>
          <w:szCs w:val="21"/>
        </w:rPr>
        <w:lastRenderedPageBreak/>
        <w:drawing>
          <wp:inline distT="0" distB="0" distL="0" distR="0" wp14:anchorId="54330D06" wp14:editId="458779FE">
            <wp:extent cx="5486400" cy="5486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Default="002F6442" w:rsidP="002F6442">
      <w:pPr>
        <w:pStyle w:val="TitulliTitull"/>
        <w:keepNext w:val="0"/>
        <w:ind w:left="5040" w:firstLine="720"/>
        <w:rPr>
          <w:i/>
        </w:rPr>
      </w:pPr>
    </w:p>
    <w:p w:rsidR="002F6442" w:rsidRPr="002F6442" w:rsidRDefault="002F6442" w:rsidP="002F6442">
      <w:pPr>
        <w:pStyle w:val="TitulliTitull"/>
        <w:keepNext w:val="0"/>
        <w:rPr>
          <w:i/>
        </w:rPr>
      </w:pPr>
      <w:r w:rsidRPr="002F6442">
        <w:rPr>
          <w:i/>
          <w:caps w:val="0"/>
        </w:rPr>
        <w:lastRenderedPageBreak/>
        <w:t>(Shtuar me vkm nr. 847, datë 13.10.2010)</w:t>
      </w:r>
    </w:p>
    <w:p w:rsidR="002F6442" w:rsidRPr="00207130" w:rsidRDefault="002F6442" w:rsidP="002F6442">
      <w:pPr>
        <w:pStyle w:val="Paragrafi0"/>
        <w:ind w:firstLine="0"/>
        <w:jc w:val="center"/>
        <w:rPr>
          <w:sz w:val="21"/>
          <w:szCs w:val="21"/>
          <w:lang w:val="sq-AL"/>
        </w:rPr>
      </w:pPr>
      <w:r w:rsidRPr="00207130">
        <w:rPr>
          <w:noProof/>
          <w:sz w:val="21"/>
          <w:szCs w:val="21"/>
        </w:rPr>
        <w:drawing>
          <wp:inline distT="0" distB="0" distL="0" distR="0" wp14:anchorId="558AB928" wp14:editId="45EE0581">
            <wp:extent cx="6172200" cy="685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72200" cy="6858000"/>
                    </a:xfrm>
                    <a:prstGeom prst="rect">
                      <a:avLst/>
                    </a:prstGeom>
                    <a:noFill/>
                    <a:ln>
                      <a:noFill/>
                    </a:ln>
                  </pic:spPr>
                </pic:pic>
              </a:graphicData>
            </a:graphic>
          </wp:inline>
        </w:drawing>
      </w: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ind w:firstLine="0"/>
        <w:rPr>
          <w:sz w:val="21"/>
          <w:szCs w:val="21"/>
          <w:lang w:val="sq-AL"/>
        </w:rPr>
      </w:pPr>
      <w:r w:rsidRPr="00207130">
        <w:rPr>
          <w:noProof/>
          <w:sz w:val="21"/>
          <w:szCs w:val="21"/>
        </w:rPr>
        <w:lastRenderedPageBreak/>
        <w:drawing>
          <wp:inline distT="0" distB="0" distL="0" distR="0" wp14:anchorId="5755F4C3" wp14:editId="179BC0F2">
            <wp:extent cx="5943600" cy="7429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7429500"/>
                    </a:xfrm>
                    <a:prstGeom prst="rect">
                      <a:avLst/>
                    </a:prstGeom>
                    <a:noFill/>
                    <a:ln>
                      <a:noFill/>
                    </a:ln>
                  </pic:spPr>
                </pic:pic>
              </a:graphicData>
            </a:graphic>
          </wp:inline>
        </w:drawing>
      </w: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ind w:firstLine="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07130" w:rsidRDefault="002F6442" w:rsidP="002F6442">
      <w:pPr>
        <w:pStyle w:val="Paragrafi0"/>
        <w:rPr>
          <w:sz w:val="21"/>
          <w:szCs w:val="21"/>
          <w:lang w:val="sq-AL"/>
        </w:rPr>
      </w:pPr>
    </w:p>
    <w:p w:rsidR="002F6442" w:rsidRPr="002F6442" w:rsidRDefault="002F6442" w:rsidP="002F6442">
      <w:pPr>
        <w:pStyle w:val="TitulliTitull"/>
        <w:keepNext w:val="0"/>
        <w:rPr>
          <w:i/>
        </w:rPr>
      </w:pPr>
      <w:r w:rsidRPr="00207130">
        <w:rPr>
          <w:noProof/>
          <w:sz w:val="21"/>
          <w:szCs w:val="21"/>
        </w:rPr>
        <w:drawing>
          <wp:inline distT="0" distB="0" distL="0" distR="0" wp14:anchorId="15C7B64F" wp14:editId="29A9AA46">
            <wp:extent cx="5971540" cy="7098246"/>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1540" cy="7098246"/>
                    </a:xfrm>
                    <a:prstGeom prst="rect">
                      <a:avLst/>
                    </a:prstGeom>
                    <a:noFill/>
                    <a:ln>
                      <a:noFill/>
                    </a:ln>
                  </pic:spPr>
                </pic:pic>
              </a:graphicData>
            </a:graphic>
          </wp:inline>
        </w:drawing>
      </w:r>
      <w:bookmarkStart w:id="0" w:name="_GoBack"/>
      <w:bookmarkEnd w:id="0"/>
    </w:p>
    <w:sectPr w:rsidR="002F6442" w:rsidRPr="002F6442" w:rsidSect="002F6442">
      <w:pgSz w:w="12240" w:h="15840"/>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3778" w:rsidRDefault="00F53778">
      <w:pPr>
        <w:spacing w:after="0" w:line="240" w:lineRule="auto"/>
      </w:pPr>
      <w:r>
        <w:separator/>
      </w:r>
    </w:p>
  </w:endnote>
  <w:endnote w:type="continuationSeparator" w:id="0">
    <w:p w:rsidR="00F53778" w:rsidRDefault="00F53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3778" w:rsidRDefault="00F53778">
      <w:pPr>
        <w:spacing w:after="0" w:line="240" w:lineRule="auto"/>
      </w:pPr>
      <w:r>
        <w:separator/>
      </w:r>
    </w:p>
  </w:footnote>
  <w:footnote w:type="continuationSeparator" w:id="0">
    <w:p w:rsidR="00F53778" w:rsidRDefault="00F537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87CD09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0C84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1EE15F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43888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54843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72D4B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FA9E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1A685BA6"/>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A98C24A"/>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14105CA9"/>
    <w:multiLevelType w:val="hybridMultilevel"/>
    <w:tmpl w:val="B652D4F2"/>
    <w:lvl w:ilvl="0" w:tplc="475CF02A">
      <w:start w:val="1"/>
      <w:numFmt w:val="decimal"/>
      <w:lvlText w:val="%1.     "/>
      <w:lvlJc w:val="left"/>
      <w:pPr>
        <w:tabs>
          <w:tab w:val="num" w:pos="720"/>
        </w:tabs>
        <w:ind w:left="0" w:firstLine="0"/>
      </w:pPr>
      <w:rPr>
        <w:rFonts w:hint="default"/>
        <w:b w:val="0"/>
      </w:rPr>
    </w:lvl>
    <w:lvl w:ilvl="1" w:tplc="FB3CDE10" w:tentative="1">
      <w:start w:val="1"/>
      <w:numFmt w:val="lowerLetter"/>
      <w:lvlText w:val="%2."/>
      <w:lvlJc w:val="left"/>
      <w:pPr>
        <w:tabs>
          <w:tab w:val="num" w:pos="1440"/>
        </w:tabs>
        <w:ind w:left="1440" w:hanging="360"/>
      </w:pPr>
    </w:lvl>
    <w:lvl w:ilvl="2" w:tplc="8B42CAB6" w:tentative="1">
      <w:start w:val="1"/>
      <w:numFmt w:val="lowerRoman"/>
      <w:lvlText w:val="%3."/>
      <w:lvlJc w:val="right"/>
      <w:pPr>
        <w:tabs>
          <w:tab w:val="num" w:pos="2160"/>
        </w:tabs>
        <w:ind w:left="2160" w:hanging="180"/>
      </w:pPr>
    </w:lvl>
    <w:lvl w:ilvl="3" w:tplc="45FA0CFA" w:tentative="1">
      <w:start w:val="1"/>
      <w:numFmt w:val="decimal"/>
      <w:lvlText w:val="%4."/>
      <w:lvlJc w:val="left"/>
      <w:pPr>
        <w:tabs>
          <w:tab w:val="num" w:pos="2880"/>
        </w:tabs>
        <w:ind w:left="2880" w:hanging="360"/>
      </w:pPr>
    </w:lvl>
    <w:lvl w:ilvl="4" w:tplc="307A44D6" w:tentative="1">
      <w:start w:val="1"/>
      <w:numFmt w:val="lowerLetter"/>
      <w:lvlText w:val="%5."/>
      <w:lvlJc w:val="left"/>
      <w:pPr>
        <w:tabs>
          <w:tab w:val="num" w:pos="3600"/>
        </w:tabs>
        <w:ind w:left="3600" w:hanging="360"/>
      </w:pPr>
    </w:lvl>
    <w:lvl w:ilvl="5" w:tplc="15220738" w:tentative="1">
      <w:start w:val="1"/>
      <w:numFmt w:val="lowerRoman"/>
      <w:lvlText w:val="%6."/>
      <w:lvlJc w:val="right"/>
      <w:pPr>
        <w:tabs>
          <w:tab w:val="num" w:pos="4320"/>
        </w:tabs>
        <w:ind w:left="4320" w:hanging="180"/>
      </w:pPr>
    </w:lvl>
    <w:lvl w:ilvl="6" w:tplc="3170215A" w:tentative="1">
      <w:start w:val="1"/>
      <w:numFmt w:val="decimal"/>
      <w:lvlText w:val="%7."/>
      <w:lvlJc w:val="left"/>
      <w:pPr>
        <w:tabs>
          <w:tab w:val="num" w:pos="5040"/>
        </w:tabs>
        <w:ind w:left="5040" w:hanging="360"/>
      </w:pPr>
    </w:lvl>
    <w:lvl w:ilvl="7" w:tplc="BC162CE2" w:tentative="1">
      <w:start w:val="1"/>
      <w:numFmt w:val="lowerLetter"/>
      <w:lvlText w:val="%8."/>
      <w:lvlJc w:val="left"/>
      <w:pPr>
        <w:tabs>
          <w:tab w:val="num" w:pos="5760"/>
        </w:tabs>
        <w:ind w:left="5760" w:hanging="360"/>
      </w:pPr>
    </w:lvl>
    <w:lvl w:ilvl="8" w:tplc="65BA0E9C" w:tentative="1">
      <w:start w:val="1"/>
      <w:numFmt w:val="lowerRoman"/>
      <w:lvlText w:val="%9."/>
      <w:lvlJc w:val="right"/>
      <w:pPr>
        <w:tabs>
          <w:tab w:val="num" w:pos="6480"/>
        </w:tabs>
        <w:ind w:left="6480" w:hanging="180"/>
      </w:pPr>
    </w:lvl>
  </w:abstractNum>
  <w:abstractNum w:abstractNumId="11" w15:restartNumberingAfterBreak="0">
    <w:nsid w:val="319439E6"/>
    <w:multiLevelType w:val="multilevel"/>
    <w:tmpl w:val="65669098"/>
    <w:lvl w:ilvl="0">
      <w:start w:val="1"/>
      <w:numFmt w:val="none"/>
      <w:pStyle w:val="ListBullet2"/>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0990023"/>
    <w:multiLevelType w:val="hybridMultilevel"/>
    <w:tmpl w:val="C0EA5AF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4" w15:restartNumberingAfterBreak="0">
    <w:nsid w:val="7FE30505"/>
    <w:multiLevelType w:val="hybridMultilevel"/>
    <w:tmpl w:val="25E07446"/>
    <w:lvl w:ilvl="0" w:tplc="CA1ACB06">
      <w:start w:val="1"/>
      <w:numFmt w:val="bullet"/>
      <w:lvlText w:val=""/>
      <w:lvlJc w:val="left"/>
      <w:pPr>
        <w:tabs>
          <w:tab w:val="num" w:pos="1440"/>
        </w:tabs>
        <w:ind w:left="1440" w:hanging="72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1"/>
  </w:num>
  <w:num w:numId="3">
    <w:abstractNumId w:val="13"/>
  </w:num>
  <w:num w:numId="4">
    <w:abstractNumId w:val="10"/>
  </w:num>
  <w:num w:numId="5">
    <w:abstractNumId w:val="9"/>
  </w:num>
  <w:num w:numId="6">
    <w:abstractNumId w:val="9"/>
  </w:num>
  <w:num w:numId="7">
    <w:abstractNumId w:val="12"/>
  </w:num>
  <w:num w:numId="8">
    <w:abstractNumId w:val="11"/>
  </w:num>
  <w:num w:numId="9">
    <w:abstractNumId w:val="13"/>
  </w:num>
  <w:num w:numId="10">
    <w:abstractNumId w:val="11"/>
  </w:num>
  <w:num w:numId="11">
    <w:abstractNumId w:val="13"/>
  </w:num>
  <w:num w:numId="12">
    <w:abstractNumId w:val="11"/>
  </w:num>
  <w:num w:numId="13">
    <w:abstractNumId w:val="13"/>
  </w:num>
  <w:num w:numId="14">
    <w:abstractNumId w:val="11"/>
  </w:num>
  <w:num w:numId="15">
    <w:abstractNumId w:val="13"/>
  </w:num>
  <w:num w:numId="16">
    <w:abstractNumId w:val="13"/>
  </w:num>
  <w:num w:numId="17">
    <w:abstractNumId w:val="9"/>
  </w:num>
  <w:num w:numId="18">
    <w:abstractNumId w:val="9"/>
  </w:num>
  <w:num w:numId="19">
    <w:abstractNumId w:val="11"/>
  </w:num>
  <w:num w:numId="20">
    <w:abstractNumId w:val="13"/>
  </w:num>
  <w:num w:numId="21">
    <w:abstractNumId w:val="11"/>
  </w:num>
  <w:num w:numId="22">
    <w:abstractNumId w:val="13"/>
  </w:num>
  <w:num w:numId="23">
    <w:abstractNumId w:val="11"/>
  </w:num>
  <w:num w:numId="24">
    <w:abstractNumId w:val="13"/>
  </w:num>
  <w:num w:numId="25">
    <w:abstractNumId w:val="11"/>
  </w:num>
  <w:num w:numId="26">
    <w:abstractNumId w:val="13"/>
  </w:num>
  <w:num w:numId="27">
    <w:abstractNumId w:val="13"/>
  </w:num>
  <w:num w:numId="28">
    <w:abstractNumId w:val="9"/>
  </w:num>
  <w:num w:numId="29">
    <w:abstractNumId w:val="9"/>
  </w:num>
  <w:num w:numId="30">
    <w:abstractNumId w:val="11"/>
  </w:num>
  <w:num w:numId="31">
    <w:abstractNumId w:val="13"/>
  </w:num>
  <w:num w:numId="32">
    <w:abstractNumId w:val="11"/>
  </w:num>
  <w:num w:numId="33">
    <w:abstractNumId w:val="13"/>
  </w:num>
  <w:num w:numId="34">
    <w:abstractNumId w:val="11"/>
  </w:num>
  <w:num w:numId="35">
    <w:abstractNumId w:val="13"/>
  </w:num>
  <w:num w:numId="36">
    <w:abstractNumId w:val="11"/>
  </w:num>
  <w:num w:numId="37">
    <w:abstractNumId w:val="13"/>
  </w:num>
  <w:num w:numId="38">
    <w:abstractNumId w:val="8"/>
  </w:num>
  <w:num w:numId="39">
    <w:abstractNumId w:val="6"/>
  </w:num>
  <w:num w:numId="40">
    <w:abstractNumId w:val="5"/>
  </w:num>
  <w:num w:numId="41">
    <w:abstractNumId w:val="4"/>
  </w:num>
  <w:num w:numId="42">
    <w:abstractNumId w:val="7"/>
  </w:num>
  <w:num w:numId="43">
    <w:abstractNumId w:val="3"/>
  </w:num>
  <w:num w:numId="44">
    <w:abstractNumId w:val="2"/>
  </w:num>
  <w:num w:numId="45">
    <w:abstractNumId w:val="1"/>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C77"/>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139"/>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C77"/>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442"/>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753"/>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3FFB"/>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2C4"/>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778"/>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6EDC4A08-2345-46FF-BDF0-8E48CCAF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C77"/>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65C77"/>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qFormat/>
    <w:rsid w:val="00165C77"/>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165C77"/>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165C77"/>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165C77"/>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165C77"/>
    <w:pPr>
      <w:spacing w:after="0"/>
      <w:outlineLvl w:val="6"/>
    </w:pPr>
    <w:rPr>
      <w:rFonts w:ascii="Cambria" w:eastAsia="Times New Roman" w:hAnsi="Cambria"/>
      <w:i/>
      <w:iCs/>
    </w:rPr>
  </w:style>
  <w:style w:type="paragraph" w:styleId="Heading8">
    <w:name w:val="heading 8"/>
    <w:basedOn w:val="Normal"/>
    <w:next w:val="Normal"/>
    <w:link w:val="Heading8Char"/>
    <w:qFormat/>
    <w:rsid w:val="00165C77"/>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165C77"/>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5C77"/>
    <w:rPr>
      <w:rFonts w:ascii="Arial" w:hAnsi="Arial" w:cs="Arial"/>
      <w:b/>
      <w:bCs/>
      <w:kern w:val="32"/>
      <w:sz w:val="32"/>
      <w:szCs w:val="32"/>
      <w:lang w:val="en-US" w:eastAsia="en-US" w:bidi="ar-SA"/>
    </w:rPr>
  </w:style>
  <w:style w:type="character" w:customStyle="1" w:styleId="Heading2Char">
    <w:name w:val="Heading 2 Char"/>
    <w:basedOn w:val="DefaultParagraphFont"/>
    <w:link w:val="Heading2"/>
    <w:rsid w:val="00165C77"/>
    <w:rPr>
      <w:rFonts w:ascii="Cambria" w:hAnsi="Cambria"/>
      <w:b/>
      <w:bCs/>
      <w:sz w:val="26"/>
      <w:szCs w:val="26"/>
      <w:lang w:val="en-US" w:eastAsia="en-US" w:bidi="en-US"/>
    </w:rPr>
  </w:style>
  <w:style w:type="character" w:customStyle="1" w:styleId="Heading3Char">
    <w:name w:val="Heading 3 Char"/>
    <w:basedOn w:val="DefaultParagraphFont"/>
    <w:link w:val="Heading3"/>
    <w:rsid w:val="00165C77"/>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165C77"/>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165C77"/>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165C77"/>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165C77"/>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165C77"/>
    <w:rPr>
      <w:rFonts w:ascii="Cambria" w:hAnsi="Cambria"/>
      <w:lang w:val="en-US" w:eastAsia="en-US" w:bidi="en-US"/>
    </w:rPr>
  </w:style>
  <w:style w:type="character" w:customStyle="1" w:styleId="Heading9Char">
    <w:name w:val="Heading 9 Char"/>
    <w:basedOn w:val="DefaultParagraphFont"/>
    <w:link w:val="Heading9"/>
    <w:semiHidden/>
    <w:rsid w:val="00165C77"/>
    <w:rPr>
      <w:rFonts w:ascii="Cambria" w:hAnsi="Cambria"/>
      <w:i/>
      <w:iCs/>
      <w:spacing w:val="5"/>
      <w:lang w:val="en-US" w:eastAsia="en-US" w:bidi="en-US"/>
    </w:rPr>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character" w:customStyle="1" w:styleId="NumriDataChar">
    <w:name w:val="Numri_Data Char"/>
    <w:basedOn w:val="DefaultParagraphFont"/>
    <w:link w:val="NumriData"/>
    <w:rsid w:val="00165C77"/>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0"/>
    <w:rsid w:val="00165C77"/>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0"/>
    <w:rsid w:val="00165C77"/>
    <w:rPr>
      <w:rFonts w:ascii="CG Times" w:eastAsia="MS Mincho" w:hAnsi="CG Times"/>
      <w:caps/>
      <w:sz w:val="22"/>
      <w:szCs w:val="22"/>
      <w:lang w:val="en-GB" w:eastAsia="en-US" w:bidi="ar-SA"/>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165C77"/>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165C77"/>
    <w:pPr>
      <w:spacing w:after="160" w:line="240" w:lineRule="exact"/>
    </w:pPr>
    <w:rPr>
      <w:rFonts w:ascii="Tahoma" w:hAnsi="Tahoma"/>
      <w:sz w:val="20"/>
      <w:szCs w:val="20"/>
    </w:rPr>
  </w:style>
  <w:style w:type="character" w:customStyle="1" w:styleId="CharChar1">
    <w:name w:val="Char Char1"/>
    <w:basedOn w:val="DefaultParagraphFont"/>
    <w:rsid w:val="00165C77"/>
    <w:rPr>
      <w:rFonts w:ascii="Trebuchet MS" w:eastAsia="MS Mincho" w:hAnsi="Trebuchet MS"/>
      <w:lang w:val="en-GB" w:eastAsia="en-US" w:bidi="ar-SA"/>
    </w:rPr>
  </w:style>
  <w:style w:type="paragraph" w:customStyle="1" w:styleId="BoxText">
    <w:name w:val="Box Text"/>
    <w:basedOn w:val="Normal"/>
    <w:rsid w:val="00165C77"/>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165C77"/>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165C77"/>
    <w:rPr>
      <w:rFonts w:ascii="Trebuchet MS" w:eastAsia="MS Mincho" w:hAnsi="Trebuchet MS"/>
      <w:szCs w:val="22"/>
      <w:lang w:val="en-GB" w:eastAsia="en-US" w:bidi="ar-SA"/>
    </w:rPr>
  </w:style>
  <w:style w:type="paragraph" w:customStyle="1" w:styleId="bulletmeshkronja">
    <w:name w:val="bullet me shkronja"/>
    <w:basedOn w:val="Normal"/>
    <w:rsid w:val="00165C77"/>
    <w:pPr>
      <w:widowControl w:val="0"/>
      <w:spacing w:before="60" w:after="60"/>
      <w:jc w:val="both"/>
    </w:pPr>
    <w:rPr>
      <w:rFonts w:ascii="Trebuchet MS" w:eastAsia="MS Mincho" w:hAnsi="Trebuchet MS"/>
      <w:lang w:val="sq-AL"/>
    </w:rPr>
  </w:style>
  <w:style w:type="paragraph" w:customStyle="1" w:styleId="Char1">
    <w:name w:val="Char1"/>
    <w:basedOn w:val="Normal"/>
    <w:rsid w:val="00165C77"/>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165C77"/>
    <w:rPr>
      <w:rFonts w:ascii="Trebuchet MS" w:eastAsia="MS Mincho" w:hAnsi="Trebuchet MS"/>
      <w:sz w:val="22"/>
      <w:lang w:val="en-GB" w:eastAsia="en-US" w:bidi="ar-SA"/>
    </w:rPr>
  </w:style>
  <w:style w:type="paragraph" w:styleId="Footer">
    <w:name w:val="footer"/>
    <w:basedOn w:val="Normal"/>
    <w:link w:val="FooterChar"/>
    <w:rsid w:val="00165C77"/>
    <w:pPr>
      <w:tabs>
        <w:tab w:val="center" w:pos="4320"/>
        <w:tab w:val="right" w:pos="8640"/>
      </w:tabs>
    </w:pPr>
  </w:style>
  <w:style w:type="character" w:customStyle="1" w:styleId="FooterChar">
    <w:name w:val="Footer Char"/>
    <w:basedOn w:val="DefaultParagraphFont"/>
    <w:link w:val="Footer"/>
    <w:rsid w:val="00165C77"/>
    <w:rPr>
      <w:rFonts w:ascii="Calibri" w:eastAsia="Calibri" w:hAnsi="Calibri"/>
      <w:sz w:val="22"/>
      <w:szCs w:val="22"/>
      <w:lang w:val="en-US" w:eastAsia="en-US" w:bidi="en-US"/>
    </w:rPr>
  </w:style>
  <w:style w:type="character" w:customStyle="1" w:styleId="footnoteChar">
    <w:name w:val="footnote Char"/>
    <w:basedOn w:val="DefaultParagraphFont"/>
    <w:rsid w:val="00165C77"/>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65C77"/>
    <w:rPr>
      <w:rFonts w:ascii="Trebuchet MS" w:eastAsia="MS Mincho" w:hAnsi="Trebuchet MS"/>
      <w:sz w:val="18"/>
      <w:lang w:val="en-GB" w:eastAsia="en-US" w:bidi="ar-SA"/>
    </w:rPr>
  </w:style>
  <w:style w:type="character" w:customStyle="1" w:styleId="Heading1CharChar">
    <w:name w:val="Heading 1 Char Char"/>
    <w:basedOn w:val="DefaultParagraphFont"/>
    <w:rsid w:val="00165C77"/>
    <w:rPr>
      <w:rFonts w:ascii="Trebuchet MS" w:eastAsia="MS Mincho" w:hAnsi="Trebuchet MS" w:cs="Arial"/>
      <w:b/>
      <w:bCs/>
      <w:kern w:val="32"/>
      <w:sz w:val="36"/>
      <w:szCs w:val="36"/>
      <w:lang w:val="en-US" w:eastAsia="en-US" w:bidi="ar-SA"/>
    </w:rPr>
  </w:style>
  <w:style w:type="paragraph" w:customStyle="1" w:styleId="hyrje">
    <w:name w:val="hyrje"/>
    <w:basedOn w:val="Heading1"/>
    <w:rsid w:val="00165C77"/>
    <w:pPr>
      <w:keepNext w:val="0"/>
      <w:pageBreakBefore/>
      <w:spacing w:before="360" w:after="360"/>
      <w:contextualSpacing/>
      <w:jc w:val="both"/>
    </w:pPr>
    <w:rPr>
      <w:rFonts w:ascii="Trebuchet MS" w:eastAsia="MS Mincho" w:hAnsi="Trebuchet MS" w:cs="Times New Roman"/>
      <w:kern w:val="0"/>
      <w:sz w:val="36"/>
      <w:szCs w:val="36"/>
      <w:lang w:val="en-GB"/>
    </w:rPr>
  </w:style>
  <w:style w:type="paragraph" w:customStyle="1" w:styleId="Level11">
    <w:name w:val="Level 1.1"/>
    <w:basedOn w:val="Normal"/>
    <w:rsid w:val="00165C77"/>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165C77"/>
    <w:pPr>
      <w:widowControl w:val="0"/>
      <w:spacing w:after="120"/>
    </w:pPr>
    <w:rPr>
      <w:rFonts w:ascii="Trebuchet MS" w:eastAsia="MS Mincho" w:hAnsi="Trebuchet MS"/>
      <w:szCs w:val="20"/>
      <w:lang w:val="sq-AL" w:eastAsia="zh-CN"/>
    </w:rPr>
  </w:style>
  <w:style w:type="paragraph" w:styleId="ListBullet2">
    <w:name w:val="List Bullet 2"/>
    <w:basedOn w:val="Normal"/>
    <w:rsid w:val="00165C77"/>
    <w:pPr>
      <w:numPr>
        <w:numId w:val="2"/>
      </w:numPr>
    </w:pPr>
  </w:style>
  <w:style w:type="character" w:customStyle="1" w:styleId="ListBullet2Char">
    <w:name w:val="List Bullet 2 Char"/>
    <w:aliases w:val="List me numra Char"/>
    <w:basedOn w:val="DefaultParagraphFont"/>
    <w:rsid w:val="00165C77"/>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65C77"/>
    <w:rPr>
      <w:rFonts w:ascii="Trebuchet MS" w:eastAsia="MS Mincho" w:hAnsi="Trebuchet MS"/>
      <w:sz w:val="22"/>
      <w:szCs w:val="22"/>
      <w:lang w:val="en-US" w:eastAsia="en-US" w:bidi="ar-SA"/>
    </w:rPr>
  </w:style>
  <w:style w:type="paragraph" w:customStyle="1" w:styleId="listmenumra">
    <w:name w:val="list me numra"/>
    <w:basedOn w:val="ListBullet2"/>
    <w:rsid w:val="00165C77"/>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165C77"/>
    <w:rPr>
      <w:rFonts w:ascii="Trebuchet MS" w:eastAsia="MS Mincho" w:hAnsi="Trebuchet MS"/>
      <w:sz w:val="22"/>
      <w:szCs w:val="22"/>
      <w:lang w:val="en-US" w:eastAsia="en-US" w:bidi="ar-SA"/>
    </w:rPr>
  </w:style>
  <w:style w:type="paragraph" w:styleId="ListParagraph">
    <w:name w:val="List Paragraph"/>
    <w:basedOn w:val="Normal"/>
    <w:qFormat/>
    <w:rsid w:val="00165C77"/>
    <w:pPr>
      <w:ind w:left="720"/>
      <w:contextualSpacing/>
    </w:pPr>
  </w:style>
  <w:style w:type="paragraph" w:customStyle="1" w:styleId="para">
    <w:name w:val="para"/>
    <w:basedOn w:val="Normal"/>
    <w:rsid w:val="00165C77"/>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165C77"/>
    <w:rPr>
      <w:rFonts w:ascii="Arial" w:eastAsia="MS Mincho" w:hAnsi="Arial"/>
      <w:sz w:val="22"/>
      <w:szCs w:val="24"/>
      <w:lang w:val="en-US" w:eastAsia="en-US" w:bidi="ar-SA"/>
    </w:rPr>
  </w:style>
  <w:style w:type="paragraph" w:customStyle="1" w:styleId="para-indent">
    <w:name w:val="para-indent"/>
    <w:basedOn w:val="para"/>
    <w:rsid w:val="00165C77"/>
    <w:pPr>
      <w:ind w:left="720"/>
    </w:pPr>
  </w:style>
  <w:style w:type="paragraph" w:customStyle="1" w:styleId="Pas">
    <w:name w:val="Pas"/>
    <w:basedOn w:val="Normal"/>
    <w:rsid w:val="00165C77"/>
    <w:pPr>
      <w:widowControl w:val="0"/>
    </w:pPr>
    <w:rPr>
      <w:rFonts w:ascii="CG Times" w:eastAsia="MS Mincho" w:hAnsi="CG Times"/>
      <w:lang w:val="sq-AL"/>
    </w:rPr>
  </w:style>
  <w:style w:type="paragraph" w:customStyle="1" w:styleId="Section">
    <w:name w:val="Section"/>
    <w:rsid w:val="00165C77"/>
    <w:rPr>
      <w:rFonts w:ascii="Arial" w:hAnsi="Arial" w:cs="Arial"/>
      <w:bCs/>
      <w:kern w:val="32"/>
      <w:sz w:val="48"/>
      <w:szCs w:val="32"/>
      <w:lang w:val="en-US" w:eastAsia="en-US" w:bidi="en-US"/>
    </w:rPr>
  </w:style>
  <w:style w:type="paragraph" w:customStyle="1" w:styleId="SectionNUM">
    <w:name w:val="Section NUM"/>
    <w:next w:val="Heading1"/>
    <w:rsid w:val="00165C77"/>
    <w:pPr>
      <w:keepNext/>
      <w:pageBreakBefore/>
      <w:tabs>
        <w:tab w:val="num" w:pos="720"/>
      </w:tabs>
      <w:spacing w:after="240"/>
      <w:ind w:left="720" w:hanging="360"/>
    </w:pPr>
    <w:rPr>
      <w:rFonts w:ascii="Trebuchet MS" w:hAnsi="Trebuchet MS"/>
      <w:b/>
      <w:kern w:val="32"/>
      <w:sz w:val="36"/>
      <w:lang w:eastAsia="en-US" w:bidi="en-US"/>
    </w:rPr>
  </w:style>
  <w:style w:type="paragraph" w:customStyle="1" w:styleId="Style">
    <w:name w:val="Style"/>
    <w:rsid w:val="00165C77"/>
    <w:pPr>
      <w:widowControl w:val="0"/>
      <w:autoSpaceDE w:val="0"/>
      <w:autoSpaceDN w:val="0"/>
      <w:adjustRightInd w:val="0"/>
    </w:pPr>
    <w:rPr>
      <w:rFonts w:eastAsia="MS Mincho"/>
      <w:sz w:val="24"/>
      <w:szCs w:val="24"/>
      <w:lang w:val="en-US" w:eastAsia="en-US" w:bidi="en-US"/>
    </w:rPr>
  </w:style>
  <w:style w:type="paragraph" w:customStyle="1" w:styleId="StyleCaption">
    <w:name w:val="Style Caption"/>
    <w:basedOn w:val="Normal"/>
    <w:rsid w:val="00165C77"/>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165C77"/>
    <w:rPr>
      <w:rFonts w:ascii="Trebuchet MS" w:eastAsia="MS Mincho" w:hAnsi="Trebuchet MS"/>
      <w:sz w:val="18"/>
      <w:szCs w:val="18"/>
      <w:lang w:val="en-US" w:eastAsia="en-US" w:bidi="ar-SA"/>
    </w:rPr>
  </w:style>
  <w:style w:type="paragraph" w:customStyle="1" w:styleId="sub-list">
    <w:name w:val="sub-list"/>
    <w:rsid w:val="00165C77"/>
    <w:pPr>
      <w:spacing w:before="60" w:after="120"/>
    </w:pPr>
    <w:rPr>
      <w:rFonts w:ascii="Arial" w:hAnsi="Arial"/>
      <w:sz w:val="22"/>
      <w:szCs w:val="24"/>
      <w:lang w:val="en-US" w:eastAsia="en-US" w:bidi="en-US"/>
    </w:rPr>
  </w:style>
  <w:style w:type="paragraph" w:customStyle="1" w:styleId="tabela">
    <w:name w:val="tabela"/>
    <w:basedOn w:val="Normal"/>
    <w:rsid w:val="00165C77"/>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165C77"/>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165C77"/>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165C77"/>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165C77"/>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165C77"/>
    <w:rPr>
      <w:rFonts w:ascii="Cambria" w:hAnsi="Cambria"/>
      <w:spacing w:val="5"/>
      <w:sz w:val="52"/>
      <w:szCs w:val="52"/>
      <w:lang w:val="en-US" w:eastAsia="en-US" w:bidi="en-US"/>
    </w:rPr>
  </w:style>
  <w:style w:type="paragraph" w:styleId="Subtitle">
    <w:name w:val="Subtitle"/>
    <w:basedOn w:val="Normal"/>
    <w:next w:val="Normal"/>
    <w:link w:val="SubtitleChar"/>
    <w:qFormat/>
    <w:rsid w:val="00165C77"/>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rsid w:val="00165C77"/>
    <w:rPr>
      <w:rFonts w:ascii="Cambria" w:hAnsi="Cambria"/>
      <w:i/>
      <w:iCs/>
      <w:spacing w:val="13"/>
      <w:sz w:val="24"/>
      <w:szCs w:val="24"/>
      <w:lang w:val="en-US" w:eastAsia="en-US" w:bidi="en-US"/>
    </w:rPr>
  </w:style>
  <w:style w:type="paragraph" w:styleId="NoSpacing">
    <w:name w:val="No Spacing"/>
    <w:basedOn w:val="Normal"/>
    <w:qFormat/>
    <w:rsid w:val="00165C77"/>
    <w:pPr>
      <w:spacing w:after="0" w:line="240" w:lineRule="auto"/>
    </w:pPr>
  </w:style>
  <w:style w:type="paragraph" w:styleId="Quote">
    <w:name w:val="Quote"/>
    <w:basedOn w:val="Normal"/>
    <w:next w:val="Normal"/>
    <w:link w:val="QuoteChar"/>
    <w:qFormat/>
    <w:rsid w:val="00165C77"/>
    <w:pPr>
      <w:spacing w:before="200" w:after="0"/>
      <w:ind w:left="360" w:right="360"/>
    </w:pPr>
    <w:rPr>
      <w:i/>
      <w:iCs/>
    </w:rPr>
  </w:style>
  <w:style w:type="character" w:customStyle="1" w:styleId="QuoteChar">
    <w:name w:val="Quote Char"/>
    <w:basedOn w:val="DefaultParagraphFont"/>
    <w:link w:val="Quote"/>
    <w:rsid w:val="00165C77"/>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165C77"/>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165C77"/>
    <w:rPr>
      <w:rFonts w:ascii="Calibri" w:eastAsia="Calibri" w:hAnsi="Calibri"/>
      <w:b/>
      <w:bCs/>
      <w:i/>
      <w:iCs/>
      <w:sz w:val="22"/>
      <w:szCs w:val="22"/>
      <w:lang w:val="en-US" w:eastAsia="en-US" w:bidi="en-US"/>
    </w:rPr>
  </w:style>
  <w:style w:type="character" w:styleId="SubtleEmphasis">
    <w:name w:val="Subtle Emphasis"/>
    <w:qFormat/>
    <w:rsid w:val="00165C77"/>
    <w:rPr>
      <w:i/>
      <w:iCs/>
    </w:rPr>
  </w:style>
  <w:style w:type="character" w:styleId="IntenseEmphasis">
    <w:name w:val="Intense Emphasis"/>
    <w:qFormat/>
    <w:rsid w:val="00165C77"/>
    <w:rPr>
      <w:b/>
      <w:bCs/>
    </w:rPr>
  </w:style>
  <w:style w:type="character" w:styleId="SubtleReference">
    <w:name w:val="Subtle Reference"/>
    <w:qFormat/>
    <w:rsid w:val="00165C77"/>
    <w:rPr>
      <w:smallCaps/>
    </w:rPr>
  </w:style>
  <w:style w:type="character" w:styleId="IntenseReference">
    <w:name w:val="Intense Reference"/>
    <w:qFormat/>
    <w:rsid w:val="00165C77"/>
    <w:rPr>
      <w:smallCaps/>
      <w:spacing w:val="5"/>
      <w:u w:val="single"/>
    </w:rPr>
  </w:style>
  <w:style w:type="character" w:styleId="BookTitle">
    <w:name w:val="Book Title"/>
    <w:qFormat/>
    <w:rsid w:val="00165C77"/>
    <w:rPr>
      <w:i/>
      <w:iCs/>
      <w:smallCaps/>
      <w:spacing w:val="5"/>
    </w:rPr>
  </w:style>
  <w:style w:type="paragraph" w:styleId="TOCHeading">
    <w:name w:val="TOC Heading"/>
    <w:basedOn w:val="Heading1"/>
    <w:next w:val="Normal"/>
    <w:qFormat/>
    <w:rsid w:val="00165C77"/>
    <w:pPr>
      <w:keepNext w:val="0"/>
      <w:spacing w:before="480" w:after="0"/>
      <w:contextualSpacing/>
      <w:outlineLvl w:val="9"/>
    </w:pPr>
    <w:rPr>
      <w:rFonts w:ascii="Cambria" w:hAnsi="Cambria" w:cs="Times New Roman"/>
      <w:kern w:val="0"/>
      <w:sz w:val="28"/>
      <w:szCs w:val="28"/>
    </w:rPr>
  </w:style>
  <w:style w:type="paragraph" w:styleId="Header">
    <w:name w:val="header"/>
    <w:basedOn w:val="Normal"/>
    <w:link w:val="HeaderChar"/>
    <w:semiHidden/>
    <w:unhideWhenUsed/>
    <w:rsid w:val="00165C77"/>
    <w:pPr>
      <w:tabs>
        <w:tab w:val="center" w:pos="4680"/>
        <w:tab w:val="right" w:pos="9360"/>
      </w:tabs>
    </w:pPr>
  </w:style>
  <w:style w:type="character" w:customStyle="1" w:styleId="HeaderChar">
    <w:name w:val="Header Char"/>
    <w:basedOn w:val="DefaultParagraphFont"/>
    <w:link w:val="Header"/>
    <w:semiHidden/>
    <w:rsid w:val="00165C77"/>
    <w:rPr>
      <w:rFonts w:ascii="Calibri" w:eastAsia="Calibri" w:hAnsi="Calibri"/>
      <w:sz w:val="22"/>
      <w:szCs w:val="22"/>
      <w:lang w:val="en-US" w:eastAsia="en-US" w:bidi="en-US"/>
    </w:rPr>
  </w:style>
  <w:style w:type="character" w:customStyle="1" w:styleId="CharChar15">
    <w:name w:val="Char Char15"/>
    <w:basedOn w:val="DefaultParagraphFont"/>
    <w:locked/>
    <w:rsid w:val="00165C77"/>
    <w:rPr>
      <w:rFonts w:ascii="Arial" w:hAnsi="Arial" w:cs="Arial"/>
      <w:b/>
      <w:bCs/>
      <w:kern w:val="32"/>
      <w:sz w:val="32"/>
      <w:szCs w:val="32"/>
      <w:lang w:val="pl-PL"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4515</Words>
  <Characters>25742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30197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2025-10-09T12:39:00Z</dcterms:created>
  <dcterms:modified xsi:type="dcterms:W3CDTF">2025-10-09T12:39:00Z</dcterms:modified>
</cp:coreProperties>
</file>