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C77" w:rsidRPr="004F743A" w:rsidRDefault="00165C77" w:rsidP="00165C77">
      <w:pPr>
        <w:pStyle w:val="Akti"/>
        <w:keepNext w:val="0"/>
        <w:rPr>
          <w:rFonts w:ascii="Garamond" w:hAnsi="Garamond"/>
          <w:sz w:val="24"/>
          <w:szCs w:val="24"/>
        </w:rPr>
      </w:pPr>
      <w:bookmarkStart w:id="0" w:name="_GoBack"/>
      <w:r w:rsidRPr="004F743A">
        <w:rPr>
          <w:rFonts w:ascii="Garamond" w:hAnsi="Garamond"/>
          <w:sz w:val="24"/>
          <w:szCs w:val="24"/>
        </w:rPr>
        <w:t>Vendim</w:t>
      </w:r>
    </w:p>
    <w:p w:rsidR="00165C77" w:rsidRPr="004F743A" w:rsidRDefault="00165C77" w:rsidP="00165C77">
      <w:pPr>
        <w:pStyle w:val="NumriData"/>
        <w:keepNext w:val="0"/>
        <w:rPr>
          <w:rFonts w:ascii="Garamond" w:hAnsi="Garamond"/>
          <w:sz w:val="24"/>
          <w:szCs w:val="24"/>
        </w:rPr>
      </w:pPr>
      <w:r w:rsidRPr="004F743A">
        <w:rPr>
          <w:rFonts w:ascii="Garamond" w:hAnsi="Garamond"/>
          <w:sz w:val="24"/>
          <w:szCs w:val="24"/>
        </w:rPr>
        <w:t>Nr.586, datë 7.7.2010</w:t>
      </w:r>
    </w:p>
    <w:p w:rsidR="00165C77" w:rsidRPr="004F743A" w:rsidRDefault="00165C77" w:rsidP="00165C77">
      <w:pPr>
        <w:pStyle w:val="Paragrafi0"/>
        <w:rPr>
          <w:rFonts w:ascii="Garamond" w:hAnsi="Garamond"/>
          <w:sz w:val="24"/>
          <w:szCs w:val="24"/>
        </w:rPr>
      </w:pPr>
    </w:p>
    <w:p w:rsidR="00165C77" w:rsidRPr="004F743A" w:rsidRDefault="00165C77" w:rsidP="00165C77">
      <w:pPr>
        <w:pStyle w:val="Titulli0"/>
        <w:keepNext w:val="0"/>
        <w:rPr>
          <w:rFonts w:ascii="Garamond" w:hAnsi="Garamond"/>
          <w:sz w:val="24"/>
          <w:szCs w:val="24"/>
        </w:rPr>
      </w:pPr>
      <w:r w:rsidRPr="004F743A">
        <w:rPr>
          <w:rFonts w:ascii="Garamond" w:hAnsi="Garamond"/>
          <w:sz w:val="24"/>
          <w:szCs w:val="24"/>
        </w:rPr>
        <w:t>Për kuotat e pranimit në institucionet publike të arsimit të lartë, cikli i parë i studimeve me kohë të plotë, si dhe për tarifat e shkollimit, për vitin akademik 2010-2011</w:t>
      </w:r>
    </w:p>
    <w:p w:rsidR="002F6442" w:rsidRPr="004F743A" w:rsidRDefault="002F6442" w:rsidP="002F6442">
      <w:pPr>
        <w:jc w:val="center"/>
        <w:rPr>
          <w:rFonts w:ascii="Garamond" w:hAnsi="Garamond"/>
          <w:i/>
          <w:sz w:val="24"/>
          <w:szCs w:val="24"/>
          <w:lang w:val="en-GB" w:bidi="ar-SA"/>
        </w:rPr>
      </w:pPr>
      <w:r w:rsidRPr="004F743A">
        <w:rPr>
          <w:rFonts w:ascii="Garamond" w:hAnsi="Garamond"/>
          <w:i/>
          <w:sz w:val="24"/>
          <w:szCs w:val="24"/>
          <w:lang w:val="en-GB" w:bidi="ar-SA"/>
        </w:rPr>
        <w:t>(Ndryshuar me VKM nr. 847, datë 13.10.2010</w:t>
      </w:r>
      <w:r w:rsidR="004F743A" w:rsidRPr="004F743A">
        <w:rPr>
          <w:rFonts w:ascii="Garamond" w:hAnsi="Garamond"/>
          <w:i/>
          <w:sz w:val="24"/>
          <w:szCs w:val="24"/>
          <w:lang w:val="en-GB" w:bidi="ar-SA"/>
        </w:rPr>
        <w:t>; nr. 855, datë 21.10.2010</w:t>
      </w:r>
      <w:r w:rsidRPr="004F743A">
        <w:rPr>
          <w:rFonts w:ascii="Garamond" w:hAnsi="Garamond"/>
          <w:i/>
          <w:sz w:val="24"/>
          <w:szCs w:val="24"/>
          <w:lang w:val="en-GB" w:bidi="ar-SA"/>
        </w:rPr>
        <w:t>)</w:t>
      </w:r>
    </w:p>
    <w:p w:rsidR="002F6442" w:rsidRPr="004F743A" w:rsidRDefault="002F6442" w:rsidP="002F6442">
      <w:pPr>
        <w:jc w:val="right"/>
        <w:rPr>
          <w:rFonts w:ascii="Garamond" w:hAnsi="Garamond"/>
          <w:i/>
          <w:sz w:val="24"/>
          <w:szCs w:val="24"/>
          <w:lang w:val="en-GB" w:bidi="ar-SA"/>
        </w:rPr>
      </w:pPr>
      <w:r w:rsidRPr="004F743A">
        <w:rPr>
          <w:rFonts w:ascii="Garamond" w:hAnsi="Garamond"/>
          <w:i/>
          <w:sz w:val="24"/>
          <w:szCs w:val="24"/>
          <w:lang w:val="en-GB" w:bidi="ar-SA"/>
        </w:rPr>
        <w:t>(i përditësuar)</w:t>
      </w:r>
    </w:p>
    <w:p w:rsidR="00165C77" w:rsidRPr="004F743A" w:rsidRDefault="00165C77" w:rsidP="00165C77">
      <w:pPr>
        <w:pStyle w:val="Paragrafi0"/>
        <w:rPr>
          <w:rFonts w:ascii="Garamond" w:hAnsi="Garamond"/>
          <w:sz w:val="24"/>
          <w:szCs w:val="24"/>
        </w:rPr>
      </w:pPr>
    </w:p>
    <w:p w:rsidR="00165C77" w:rsidRPr="004F743A" w:rsidRDefault="00165C77" w:rsidP="00165C77">
      <w:pPr>
        <w:pStyle w:val="Paragrafi0"/>
        <w:rPr>
          <w:rFonts w:ascii="Garamond" w:hAnsi="Garamond"/>
          <w:sz w:val="24"/>
          <w:szCs w:val="24"/>
        </w:rPr>
      </w:pPr>
      <w:r w:rsidRPr="004F743A">
        <w:rPr>
          <w:rFonts w:ascii="Garamond" w:hAnsi="Garamond"/>
          <w:sz w:val="24"/>
          <w:szCs w:val="24"/>
        </w:rPr>
        <w:t>Në mbështetje të nenit 100 të Kushtetutës dhe të neneve 33, 35, 36 e 75 të ligjit nr.9741, datë 21.5.2007 “Për arsimin e lartë në Republikën e Shqipërisë”, të ndryshuar, me propozimin e Ministrit të Arsimit dhe Shkencës, Këshilli i Ministrave</w:t>
      </w:r>
    </w:p>
    <w:p w:rsidR="00165C77" w:rsidRPr="004F743A" w:rsidRDefault="00165C77" w:rsidP="00165C77">
      <w:pPr>
        <w:pStyle w:val="Paragrafi0"/>
        <w:rPr>
          <w:rFonts w:ascii="Garamond" w:hAnsi="Garamond"/>
          <w:sz w:val="24"/>
          <w:szCs w:val="24"/>
        </w:rPr>
      </w:pPr>
    </w:p>
    <w:p w:rsidR="00165C77" w:rsidRPr="004F743A" w:rsidRDefault="00165C77" w:rsidP="00165C77">
      <w:pPr>
        <w:pStyle w:val="VENDOSI0"/>
        <w:keepNext w:val="0"/>
        <w:rPr>
          <w:rFonts w:ascii="Garamond" w:hAnsi="Garamond"/>
          <w:sz w:val="24"/>
          <w:szCs w:val="24"/>
        </w:rPr>
      </w:pPr>
      <w:r w:rsidRPr="004F743A">
        <w:rPr>
          <w:rFonts w:ascii="Garamond" w:hAnsi="Garamond"/>
          <w:sz w:val="24"/>
          <w:szCs w:val="24"/>
        </w:rPr>
        <w:t>Vendosi:</w:t>
      </w:r>
    </w:p>
    <w:p w:rsidR="00165C77" w:rsidRPr="004F743A" w:rsidRDefault="00165C77" w:rsidP="00165C77">
      <w:pPr>
        <w:pStyle w:val="Paragrafi0"/>
        <w:rPr>
          <w:rFonts w:ascii="Garamond" w:hAnsi="Garamond"/>
          <w:sz w:val="24"/>
          <w:szCs w:val="24"/>
        </w:rPr>
      </w:pPr>
    </w:p>
    <w:p w:rsidR="00165C77" w:rsidRPr="004F743A" w:rsidRDefault="00165C77" w:rsidP="00165C77">
      <w:pPr>
        <w:pStyle w:val="Paragrafi0"/>
        <w:rPr>
          <w:rFonts w:ascii="Garamond" w:hAnsi="Garamond"/>
          <w:sz w:val="24"/>
          <w:szCs w:val="24"/>
        </w:rPr>
      </w:pPr>
      <w:r w:rsidRPr="004F743A">
        <w:rPr>
          <w:rFonts w:ascii="Garamond" w:hAnsi="Garamond"/>
          <w:sz w:val="24"/>
          <w:szCs w:val="24"/>
        </w:rPr>
        <w:t>1. Kuotat e përgjithshme të pranimit në institucionet publike të arsimit të lartë, për vitin akademik 2010-2011, në ciklin e parë të studimeve me kohë të plotë, janë 23 534, të ndara, si më poshtë vijon:</w:t>
      </w:r>
    </w:p>
    <w:tbl>
      <w:tblPr>
        <w:tblW w:w="0" w:type="auto"/>
        <w:jc w:val="center"/>
        <w:tblLook w:val="04A0" w:firstRow="1" w:lastRow="0" w:firstColumn="1" w:lastColumn="0" w:noHBand="0" w:noVBand="1"/>
      </w:tblPr>
      <w:tblGrid>
        <w:gridCol w:w="409"/>
        <w:gridCol w:w="6483"/>
        <w:gridCol w:w="891"/>
      </w:tblGrid>
      <w:tr w:rsidR="00165C77" w:rsidRPr="004F743A" w:rsidTr="00165C77">
        <w:trPr>
          <w:jc w:val="center"/>
        </w:trPr>
        <w:tc>
          <w:tcPr>
            <w:tcW w:w="0" w:type="auto"/>
          </w:tcPr>
          <w:p w:rsidR="00165C77" w:rsidRPr="004F743A" w:rsidRDefault="00165C77" w:rsidP="00165C77">
            <w:pPr>
              <w:pStyle w:val="Paragrafi0"/>
              <w:ind w:firstLine="0"/>
              <w:rPr>
                <w:rFonts w:ascii="Garamond" w:hAnsi="Garamond"/>
                <w:sz w:val="24"/>
                <w:szCs w:val="24"/>
              </w:rPr>
            </w:pPr>
            <w:r w:rsidRPr="004F743A">
              <w:rPr>
                <w:rFonts w:ascii="Garamond" w:hAnsi="Garamond"/>
                <w:sz w:val="24"/>
                <w:szCs w:val="24"/>
              </w:rPr>
              <w:t>a)</w:t>
            </w:r>
          </w:p>
        </w:tc>
        <w:tc>
          <w:tcPr>
            <w:tcW w:w="0" w:type="auto"/>
          </w:tcPr>
          <w:p w:rsidR="00165C77" w:rsidRPr="004F743A" w:rsidRDefault="00165C77" w:rsidP="00165C77">
            <w:pPr>
              <w:pStyle w:val="Paragrafi0"/>
              <w:ind w:firstLine="0"/>
              <w:rPr>
                <w:rFonts w:ascii="Garamond" w:hAnsi="Garamond"/>
                <w:sz w:val="24"/>
                <w:szCs w:val="24"/>
                <w:lang w:val="it-IT"/>
              </w:rPr>
            </w:pPr>
            <w:r w:rsidRPr="004F743A">
              <w:rPr>
                <w:rFonts w:ascii="Garamond" w:hAnsi="Garamond"/>
                <w:sz w:val="24"/>
                <w:szCs w:val="24"/>
                <w:lang w:val="it-IT"/>
              </w:rPr>
              <w:t>Kuotat e pranimeve të reja për programet e studimit të ciklit të parë</w:t>
            </w:r>
          </w:p>
        </w:tc>
        <w:tc>
          <w:tcPr>
            <w:tcW w:w="0" w:type="auto"/>
          </w:tcPr>
          <w:p w:rsidR="00165C77" w:rsidRPr="004F743A" w:rsidRDefault="00165C77" w:rsidP="00165C77">
            <w:pPr>
              <w:pStyle w:val="Paragrafi0"/>
              <w:ind w:firstLine="0"/>
              <w:jc w:val="right"/>
              <w:rPr>
                <w:rFonts w:ascii="Garamond" w:hAnsi="Garamond"/>
                <w:sz w:val="24"/>
                <w:szCs w:val="24"/>
              </w:rPr>
            </w:pPr>
            <w:r w:rsidRPr="004F743A">
              <w:rPr>
                <w:rFonts w:ascii="Garamond" w:hAnsi="Garamond"/>
                <w:sz w:val="24"/>
                <w:szCs w:val="24"/>
              </w:rPr>
              <w:t>23 034;</w:t>
            </w:r>
          </w:p>
        </w:tc>
      </w:tr>
      <w:tr w:rsidR="00165C77" w:rsidRPr="004F743A" w:rsidTr="00165C77">
        <w:trPr>
          <w:jc w:val="center"/>
        </w:trPr>
        <w:tc>
          <w:tcPr>
            <w:tcW w:w="0" w:type="auto"/>
          </w:tcPr>
          <w:p w:rsidR="00165C77" w:rsidRPr="004F743A" w:rsidRDefault="00165C77" w:rsidP="00165C77">
            <w:pPr>
              <w:pStyle w:val="Paragrafi0"/>
              <w:ind w:firstLine="0"/>
              <w:rPr>
                <w:rFonts w:ascii="Garamond" w:hAnsi="Garamond"/>
                <w:sz w:val="24"/>
                <w:szCs w:val="24"/>
              </w:rPr>
            </w:pPr>
            <w:r w:rsidRPr="004F743A">
              <w:rPr>
                <w:rFonts w:ascii="Garamond" w:hAnsi="Garamond"/>
                <w:sz w:val="24"/>
                <w:szCs w:val="24"/>
              </w:rPr>
              <w:t>b)</w:t>
            </w:r>
          </w:p>
        </w:tc>
        <w:tc>
          <w:tcPr>
            <w:tcW w:w="0" w:type="auto"/>
          </w:tcPr>
          <w:p w:rsidR="00165C77" w:rsidRPr="004F743A" w:rsidRDefault="00165C77" w:rsidP="00165C77">
            <w:pPr>
              <w:pStyle w:val="Paragrafi0"/>
              <w:ind w:firstLine="0"/>
              <w:rPr>
                <w:rFonts w:ascii="Garamond" w:hAnsi="Garamond"/>
                <w:sz w:val="24"/>
                <w:szCs w:val="24"/>
                <w:lang w:val="it-IT"/>
              </w:rPr>
            </w:pPr>
            <w:r w:rsidRPr="004F743A">
              <w:rPr>
                <w:rFonts w:ascii="Garamond" w:hAnsi="Garamond"/>
                <w:sz w:val="24"/>
                <w:szCs w:val="24"/>
                <w:lang w:val="it-IT"/>
              </w:rPr>
              <w:t>Kuota për program të dytë studimi</w:t>
            </w:r>
          </w:p>
        </w:tc>
        <w:tc>
          <w:tcPr>
            <w:tcW w:w="0" w:type="auto"/>
          </w:tcPr>
          <w:p w:rsidR="00165C77" w:rsidRPr="004F743A" w:rsidRDefault="00165C77" w:rsidP="00165C77">
            <w:pPr>
              <w:pStyle w:val="Paragrafi0"/>
              <w:ind w:firstLine="0"/>
              <w:jc w:val="right"/>
              <w:rPr>
                <w:rFonts w:ascii="Garamond" w:hAnsi="Garamond"/>
                <w:sz w:val="24"/>
                <w:szCs w:val="24"/>
              </w:rPr>
            </w:pPr>
            <w:r w:rsidRPr="004F743A">
              <w:rPr>
                <w:rFonts w:ascii="Garamond" w:hAnsi="Garamond"/>
                <w:sz w:val="24"/>
                <w:szCs w:val="24"/>
              </w:rPr>
              <w:t>100;</w:t>
            </w:r>
          </w:p>
        </w:tc>
      </w:tr>
      <w:tr w:rsidR="00165C77" w:rsidRPr="004F743A" w:rsidTr="00165C77">
        <w:trPr>
          <w:jc w:val="center"/>
        </w:trPr>
        <w:tc>
          <w:tcPr>
            <w:tcW w:w="0" w:type="auto"/>
          </w:tcPr>
          <w:p w:rsidR="00165C77" w:rsidRPr="004F743A" w:rsidRDefault="00165C77" w:rsidP="00165C77">
            <w:pPr>
              <w:pStyle w:val="Paragrafi0"/>
              <w:ind w:firstLine="0"/>
              <w:rPr>
                <w:rFonts w:ascii="Garamond" w:hAnsi="Garamond"/>
                <w:sz w:val="24"/>
                <w:szCs w:val="24"/>
              </w:rPr>
            </w:pPr>
            <w:r w:rsidRPr="004F743A">
              <w:rPr>
                <w:rFonts w:ascii="Garamond" w:hAnsi="Garamond"/>
                <w:sz w:val="24"/>
                <w:szCs w:val="24"/>
              </w:rPr>
              <w:t>c)</w:t>
            </w:r>
          </w:p>
        </w:tc>
        <w:tc>
          <w:tcPr>
            <w:tcW w:w="0" w:type="auto"/>
          </w:tcPr>
          <w:p w:rsidR="00165C77" w:rsidRPr="004F743A" w:rsidRDefault="00165C77" w:rsidP="00165C77">
            <w:pPr>
              <w:pStyle w:val="Paragrafi0"/>
              <w:ind w:firstLine="0"/>
              <w:rPr>
                <w:rFonts w:ascii="Garamond" w:hAnsi="Garamond"/>
                <w:sz w:val="24"/>
                <w:szCs w:val="24"/>
              </w:rPr>
            </w:pPr>
            <w:r w:rsidRPr="004F743A">
              <w:rPr>
                <w:rFonts w:ascii="Garamond" w:hAnsi="Garamond"/>
                <w:sz w:val="24"/>
                <w:szCs w:val="24"/>
              </w:rPr>
              <w:t>Kuota për transferim studimesh</w:t>
            </w:r>
          </w:p>
        </w:tc>
        <w:tc>
          <w:tcPr>
            <w:tcW w:w="0" w:type="auto"/>
          </w:tcPr>
          <w:p w:rsidR="00165C77" w:rsidRPr="004F743A" w:rsidRDefault="00165C77" w:rsidP="00165C77">
            <w:pPr>
              <w:pStyle w:val="Paragrafi0"/>
              <w:ind w:firstLine="0"/>
              <w:jc w:val="right"/>
              <w:rPr>
                <w:rFonts w:ascii="Garamond" w:hAnsi="Garamond"/>
                <w:sz w:val="24"/>
                <w:szCs w:val="24"/>
              </w:rPr>
            </w:pPr>
            <w:r w:rsidRPr="004F743A">
              <w:rPr>
                <w:rFonts w:ascii="Garamond" w:hAnsi="Garamond"/>
                <w:sz w:val="24"/>
                <w:szCs w:val="24"/>
              </w:rPr>
              <w:t>300;</w:t>
            </w:r>
          </w:p>
        </w:tc>
      </w:tr>
      <w:tr w:rsidR="00165C77" w:rsidRPr="004F743A" w:rsidTr="00165C77">
        <w:trPr>
          <w:jc w:val="center"/>
        </w:trPr>
        <w:tc>
          <w:tcPr>
            <w:tcW w:w="0" w:type="auto"/>
          </w:tcPr>
          <w:p w:rsidR="00165C77" w:rsidRPr="004F743A" w:rsidRDefault="00165C77" w:rsidP="00165C77">
            <w:pPr>
              <w:pStyle w:val="Paragrafi0"/>
              <w:ind w:firstLine="0"/>
              <w:rPr>
                <w:rFonts w:ascii="Garamond" w:hAnsi="Garamond"/>
                <w:sz w:val="24"/>
                <w:szCs w:val="24"/>
              </w:rPr>
            </w:pPr>
            <w:r w:rsidRPr="004F743A">
              <w:rPr>
                <w:rFonts w:ascii="Garamond" w:hAnsi="Garamond"/>
                <w:sz w:val="24"/>
                <w:szCs w:val="24"/>
              </w:rPr>
              <w:t>ç)</w:t>
            </w:r>
          </w:p>
        </w:tc>
        <w:tc>
          <w:tcPr>
            <w:tcW w:w="0" w:type="auto"/>
          </w:tcPr>
          <w:p w:rsidR="00165C77" w:rsidRPr="004F743A" w:rsidRDefault="00165C77" w:rsidP="00165C77">
            <w:pPr>
              <w:pStyle w:val="Paragrafi0"/>
              <w:ind w:firstLine="0"/>
              <w:rPr>
                <w:rFonts w:ascii="Garamond" w:hAnsi="Garamond"/>
                <w:sz w:val="24"/>
                <w:szCs w:val="24"/>
                <w:lang w:val="it-IT"/>
              </w:rPr>
            </w:pPr>
            <w:r w:rsidRPr="004F743A">
              <w:rPr>
                <w:rFonts w:ascii="Garamond" w:hAnsi="Garamond"/>
                <w:sz w:val="24"/>
                <w:szCs w:val="24"/>
                <w:lang w:val="it-IT"/>
              </w:rPr>
              <w:t>Kuota për shtetasit e huaj</w:t>
            </w:r>
          </w:p>
        </w:tc>
        <w:tc>
          <w:tcPr>
            <w:tcW w:w="0" w:type="auto"/>
          </w:tcPr>
          <w:p w:rsidR="00165C77" w:rsidRPr="004F743A" w:rsidRDefault="00165C77" w:rsidP="00165C77">
            <w:pPr>
              <w:pStyle w:val="Paragrafi0"/>
              <w:ind w:firstLine="0"/>
              <w:jc w:val="right"/>
              <w:rPr>
                <w:rFonts w:ascii="Garamond" w:hAnsi="Garamond"/>
                <w:sz w:val="24"/>
                <w:szCs w:val="24"/>
              </w:rPr>
            </w:pPr>
            <w:r w:rsidRPr="004F743A">
              <w:rPr>
                <w:rFonts w:ascii="Garamond" w:hAnsi="Garamond"/>
                <w:sz w:val="24"/>
                <w:szCs w:val="24"/>
              </w:rPr>
              <w:t>100.</w:t>
            </w:r>
          </w:p>
        </w:tc>
      </w:tr>
    </w:tbl>
    <w:p w:rsidR="00165C77" w:rsidRPr="004F743A" w:rsidRDefault="00165C77" w:rsidP="00165C77">
      <w:pPr>
        <w:pStyle w:val="Paragrafi0"/>
        <w:rPr>
          <w:rFonts w:ascii="Garamond" w:hAnsi="Garamond"/>
          <w:sz w:val="24"/>
          <w:szCs w:val="24"/>
        </w:rPr>
      </w:pPr>
    </w:p>
    <w:p w:rsidR="00165C77" w:rsidRPr="004F743A" w:rsidRDefault="00165C77" w:rsidP="00165C77">
      <w:pPr>
        <w:pStyle w:val="Paragrafi0"/>
        <w:rPr>
          <w:rFonts w:ascii="Garamond" w:hAnsi="Garamond"/>
          <w:sz w:val="24"/>
          <w:szCs w:val="24"/>
        </w:rPr>
      </w:pPr>
    </w:p>
    <w:p w:rsidR="00165C77" w:rsidRPr="004F743A" w:rsidRDefault="00165C77" w:rsidP="00165C77">
      <w:pPr>
        <w:pStyle w:val="Paragrafi0"/>
        <w:rPr>
          <w:rFonts w:ascii="Garamond" w:hAnsi="Garamond"/>
          <w:sz w:val="24"/>
          <w:szCs w:val="24"/>
        </w:rPr>
      </w:pPr>
    </w:p>
    <w:p w:rsidR="00165C77" w:rsidRPr="004F743A" w:rsidRDefault="00165C77" w:rsidP="00165C77">
      <w:pPr>
        <w:pStyle w:val="Paragrafi0"/>
        <w:rPr>
          <w:rFonts w:ascii="Garamond" w:hAnsi="Garamond"/>
          <w:sz w:val="24"/>
          <w:szCs w:val="24"/>
        </w:rPr>
      </w:pPr>
    </w:p>
    <w:p w:rsidR="00165C77" w:rsidRPr="004F743A" w:rsidRDefault="00165C77" w:rsidP="00165C77">
      <w:pPr>
        <w:pStyle w:val="Paragrafi0"/>
        <w:rPr>
          <w:rFonts w:ascii="Garamond" w:hAnsi="Garamond"/>
          <w:sz w:val="24"/>
          <w:szCs w:val="24"/>
        </w:rPr>
      </w:pPr>
      <w:r w:rsidRPr="004F743A">
        <w:rPr>
          <w:rFonts w:ascii="Garamond" w:hAnsi="Garamond"/>
          <w:sz w:val="24"/>
          <w:szCs w:val="24"/>
        </w:rPr>
        <w:t>2. Kuota e pranimevetë reja për programet e studimit të ciklit të parë me kohë të plotë përbëhet nga:</w:t>
      </w:r>
    </w:p>
    <w:tbl>
      <w:tblPr>
        <w:tblW w:w="0" w:type="auto"/>
        <w:jc w:val="center"/>
        <w:tblLook w:val="04A0" w:firstRow="1" w:lastRow="0" w:firstColumn="1" w:lastColumn="0" w:noHBand="0" w:noVBand="1"/>
      </w:tblPr>
      <w:tblGrid>
        <w:gridCol w:w="409"/>
        <w:gridCol w:w="5681"/>
        <w:gridCol w:w="891"/>
      </w:tblGrid>
      <w:tr w:rsidR="00165C77" w:rsidRPr="004F743A" w:rsidTr="00165C77">
        <w:trPr>
          <w:jc w:val="center"/>
        </w:trPr>
        <w:tc>
          <w:tcPr>
            <w:tcW w:w="0" w:type="auto"/>
          </w:tcPr>
          <w:p w:rsidR="00165C77" w:rsidRPr="004F743A" w:rsidRDefault="00165C77" w:rsidP="00165C77">
            <w:pPr>
              <w:pStyle w:val="Paragrafi0"/>
              <w:ind w:firstLine="0"/>
              <w:rPr>
                <w:rFonts w:ascii="Garamond" w:hAnsi="Garamond"/>
                <w:sz w:val="24"/>
                <w:szCs w:val="24"/>
              </w:rPr>
            </w:pPr>
            <w:r w:rsidRPr="004F743A">
              <w:rPr>
                <w:rFonts w:ascii="Garamond" w:hAnsi="Garamond"/>
                <w:sz w:val="24"/>
                <w:szCs w:val="24"/>
              </w:rPr>
              <w:t>a)</w:t>
            </w:r>
          </w:p>
        </w:tc>
        <w:tc>
          <w:tcPr>
            <w:tcW w:w="0" w:type="auto"/>
          </w:tcPr>
          <w:p w:rsidR="00165C77" w:rsidRPr="004F743A" w:rsidRDefault="00165C77" w:rsidP="00165C77">
            <w:pPr>
              <w:pStyle w:val="Paragrafi0"/>
              <w:ind w:firstLine="0"/>
              <w:rPr>
                <w:rFonts w:ascii="Garamond" w:hAnsi="Garamond"/>
                <w:sz w:val="24"/>
                <w:szCs w:val="24"/>
                <w:lang w:val="it-IT"/>
              </w:rPr>
            </w:pPr>
            <w:r w:rsidRPr="004F743A">
              <w:rPr>
                <w:rFonts w:ascii="Garamond" w:hAnsi="Garamond"/>
                <w:sz w:val="24"/>
                <w:szCs w:val="24"/>
                <w:lang w:val="it-IT"/>
              </w:rPr>
              <w:t>Kuotat e pranimit për kandidatët brenda territorit të vendit</w:t>
            </w:r>
          </w:p>
        </w:tc>
        <w:tc>
          <w:tcPr>
            <w:tcW w:w="0" w:type="auto"/>
          </w:tcPr>
          <w:p w:rsidR="00165C77" w:rsidRPr="004F743A" w:rsidRDefault="00165C77" w:rsidP="00165C77">
            <w:pPr>
              <w:pStyle w:val="Paragrafi0"/>
              <w:ind w:firstLine="0"/>
              <w:jc w:val="right"/>
              <w:rPr>
                <w:rFonts w:ascii="Garamond" w:hAnsi="Garamond"/>
                <w:sz w:val="24"/>
                <w:szCs w:val="24"/>
              </w:rPr>
            </w:pPr>
            <w:r w:rsidRPr="004F743A">
              <w:rPr>
                <w:rFonts w:ascii="Garamond" w:hAnsi="Garamond"/>
                <w:sz w:val="24"/>
                <w:szCs w:val="24"/>
              </w:rPr>
              <w:t>21 725;</w:t>
            </w:r>
          </w:p>
        </w:tc>
      </w:tr>
      <w:tr w:rsidR="00165C77" w:rsidRPr="004F743A" w:rsidTr="00165C77">
        <w:trPr>
          <w:jc w:val="center"/>
        </w:trPr>
        <w:tc>
          <w:tcPr>
            <w:tcW w:w="0" w:type="auto"/>
          </w:tcPr>
          <w:p w:rsidR="00165C77" w:rsidRPr="004F743A" w:rsidRDefault="00165C77" w:rsidP="00165C77">
            <w:pPr>
              <w:pStyle w:val="Paragrafi0"/>
              <w:ind w:firstLine="0"/>
              <w:rPr>
                <w:rFonts w:ascii="Garamond" w:hAnsi="Garamond"/>
                <w:sz w:val="24"/>
                <w:szCs w:val="24"/>
              </w:rPr>
            </w:pPr>
            <w:r w:rsidRPr="004F743A">
              <w:rPr>
                <w:rFonts w:ascii="Garamond" w:hAnsi="Garamond"/>
                <w:sz w:val="24"/>
                <w:szCs w:val="24"/>
              </w:rPr>
              <w:t>b)</w:t>
            </w:r>
          </w:p>
        </w:tc>
        <w:tc>
          <w:tcPr>
            <w:tcW w:w="0" w:type="auto"/>
          </w:tcPr>
          <w:p w:rsidR="00165C77" w:rsidRPr="004F743A" w:rsidRDefault="00165C77" w:rsidP="00165C77">
            <w:pPr>
              <w:pStyle w:val="Paragrafi0"/>
              <w:ind w:firstLine="0"/>
              <w:rPr>
                <w:rFonts w:ascii="Garamond" w:hAnsi="Garamond"/>
                <w:sz w:val="24"/>
                <w:szCs w:val="24"/>
              </w:rPr>
            </w:pPr>
            <w:r w:rsidRPr="004F743A">
              <w:rPr>
                <w:rFonts w:ascii="Garamond" w:hAnsi="Garamond"/>
                <w:sz w:val="24"/>
                <w:szCs w:val="24"/>
              </w:rPr>
              <w:t>Kuota për shqiptarët nga trojet jashtë kufijve të vendit</w:t>
            </w:r>
          </w:p>
        </w:tc>
        <w:tc>
          <w:tcPr>
            <w:tcW w:w="0" w:type="auto"/>
          </w:tcPr>
          <w:p w:rsidR="00165C77" w:rsidRPr="004F743A" w:rsidRDefault="00165C77" w:rsidP="00165C77">
            <w:pPr>
              <w:pStyle w:val="Paragrafi0"/>
              <w:ind w:firstLine="0"/>
              <w:jc w:val="right"/>
              <w:rPr>
                <w:rFonts w:ascii="Garamond" w:hAnsi="Garamond"/>
                <w:sz w:val="24"/>
                <w:szCs w:val="24"/>
              </w:rPr>
            </w:pPr>
            <w:r w:rsidRPr="004F743A">
              <w:rPr>
                <w:rFonts w:ascii="Garamond" w:hAnsi="Garamond"/>
                <w:sz w:val="24"/>
                <w:szCs w:val="24"/>
              </w:rPr>
              <w:t>1264;</w:t>
            </w:r>
          </w:p>
        </w:tc>
      </w:tr>
      <w:tr w:rsidR="00165C77" w:rsidRPr="004F743A" w:rsidTr="00165C77">
        <w:trPr>
          <w:jc w:val="center"/>
        </w:trPr>
        <w:tc>
          <w:tcPr>
            <w:tcW w:w="0" w:type="auto"/>
          </w:tcPr>
          <w:p w:rsidR="00165C77" w:rsidRPr="004F743A" w:rsidRDefault="00165C77" w:rsidP="00165C77">
            <w:pPr>
              <w:pStyle w:val="Paragrafi0"/>
              <w:ind w:firstLine="0"/>
              <w:rPr>
                <w:rFonts w:ascii="Garamond" w:hAnsi="Garamond"/>
                <w:sz w:val="24"/>
                <w:szCs w:val="24"/>
              </w:rPr>
            </w:pPr>
            <w:r w:rsidRPr="004F743A">
              <w:rPr>
                <w:rFonts w:ascii="Garamond" w:hAnsi="Garamond"/>
                <w:sz w:val="24"/>
                <w:szCs w:val="24"/>
              </w:rPr>
              <w:t>c)</w:t>
            </w:r>
          </w:p>
        </w:tc>
        <w:tc>
          <w:tcPr>
            <w:tcW w:w="0" w:type="auto"/>
          </w:tcPr>
          <w:p w:rsidR="00165C77" w:rsidRPr="004F743A" w:rsidRDefault="00165C77" w:rsidP="00165C77">
            <w:pPr>
              <w:pStyle w:val="Paragrafi0"/>
              <w:ind w:firstLine="0"/>
              <w:rPr>
                <w:rFonts w:ascii="Garamond" w:hAnsi="Garamond"/>
                <w:sz w:val="24"/>
                <w:szCs w:val="24"/>
              </w:rPr>
            </w:pPr>
            <w:r w:rsidRPr="004F743A">
              <w:rPr>
                <w:rFonts w:ascii="Garamond" w:hAnsi="Garamond"/>
                <w:sz w:val="24"/>
                <w:szCs w:val="24"/>
              </w:rPr>
              <w:t>Kuota për të verbërit (të veçanta)</w:t>
            </w:r>
          </w:p>
        </w:tc>
        <w:tc>
          <w:tcPr>
            <w:tcW w:w="0" w:type="auto"/>
          </w:tcPr>
          <w:p w:rsidR="00165C77" w:rsidRPr="004F743A" w:rsidRDefault="00165C77" w:rsidP="00165C77">
            <w:pPr>
              <w:pStyle w:val="Paragrafi0"/>
              <w:ind w:firstLine="0"/>
              <w:jc w:val="right"/>
              <w:rPr>
                <w:rFonts w:ascii="Garamond" w:hAnsi="Garamond"/>
                <w:sz w:val="24"/>
                <w:szCs w:val="24"/>
              </w:rPr>
            </w:pPr>
            <w:r w:rsidRPr="004F743A">
              <w:rPr>
                <w:rFonts w:ascii="Garamond" w:hAnsi="Garamond"/>
                <w:sz w:val="24"/>
                <w:szCs w:val="24"/>
              </w:rPr>
              <w:t>20;</w:t>
            </w:r>
          </w:p>
        </w:tc>
      </w:tr>
      <w:tr w:rsidR="00165C77" w:rsidRPr="004F743A" w:rsidTr="00165C77">
        <w:trPr>
          <w:jc w:val="center"/>
        </w:trPr>
        <w:tc>
          <w:tcPr>
            <w:tcW w:w="0" w:type="auto"/>
          </w:tcPr>
          <w:p w:rsidR="00165C77" w:rsidRPr="004F743A" w:rsidRDefault="00165C77" w:rsidP="00165C77">
            <w:pPr>
              <w:pStyle w:val="Paragrafi0"/>
              <w:ind w:firstLine="0"/>
              <w:rPr>
                <w:rFonts w:ascii="Garamond" w:hAnsi="Garamond"/>
                <w:sz w:val="24"/>
                <w:szCs w:val="24"/>
              </w:rPr>
            </w:pPr>
            <w:r w:rsidRPr="004F743A">
              <w:rPr>
                <w:rFonts w:ascii="Garamond" w:hAnsi="Garamond"/>
                <w:sz w:val="24"/>
                <w:szCs w:val="24"/>
              </w:rPr>
              <w:t>ç)</w:t>
            </w:r>
          </w:p>
        </w:tc>
        <w:tc>
          <w:tcPr>
            <w:tcW w:w="0" w:type="auto"/>
          </w:tcPr>
          <w:p w:rsidR="00165C77" w:rsidRPr="004F743A" w:rsidRDefault="00165C77" w:rsidP="00165C77">
            <w:pPr>
              <w:pStyle w:val="Paragrafi0"/>
              <w:ind w:firstLine="0"/>
              <w:rPr>
                <w:rFonts w:ascii="Garamond" w:hAnsi="Garamond"/>
                <w:sz w:val="24"/>
                <w:szCs w:val="24"/>
              </w:rPr>
            </w:pPr>
            <w:r w:rsidRPr="004F743A">
              <w:rPr>
                <w:rFonts w:ascii="Garamond" w:hAnsi="Garamond"/>
                <w:sz w:val="24"/>
                <w:szCs w:val="24"/>
              </w:rPr>
              <w:t>Kuota për romët (ballkano-egjiptianë)</w:t>
            </w:r>
          </w:p>
        </w:tc>
        <w:tc>
          <w:tcPr>
            <w:tcW w:w="0" w:type="auto"/>
          </w:tcPr>
          <w:p w:rsidR="00165C77" w:rsidRPr="004F743A" w:rsidRDefault="00165C77" w:rsidP="00165C77">
            <w:pPr>
              <w:pStyle w:val="Paragrafi0"/>
              <w:ind w:firstLine="0"/>
              <w:jc w:val="right"/>
              <w:rPr>
                <w:rFonts w:ascii="Garamond" w:hAnsi="Garamond"/>
                <w:sz w:val="24"/>
                <w:szCs w:val="24"/>
              </w:rPr>
            </w:pPr>
            <w:r w:rsidRPr="004F743A">
              <w:rPr>
                <w:rFonts w:ascii="Garamond" w:hAnsi="Garamond"/>
                <w:sz w:val="24"/>
                <w:szCs w:val="24"/>
              </w:rPr>
              <w:t>25.</w:t>
            </w:r>
          </w:p>
        </w:tc>
      </w:tr>
    </w:tbl>
    <w:p w:rsidR="00165C77" w:rsidRPr="004F743A" w:rsidRDefault="00165C77" w:rsidP="00165C77">
      <w:pPr>
        <w:pStyle w:val="Paragrafi0"/>
        <w:rPr>
          <w:rFonts w:ascii="Garamond" w:hAnsi="Garamond"/>
          <w:sz w:val="24"/>
          <w:szCs w:val="24"/>
        </w:rPr>
      </w:pPr>
    </w:p>
    <w:p w:rsidR="00165C77" w:rsidRPr="004F743A" w:rsidRDefault="00165C77" w:rsidP="00165C77">
      <w:pPr>
        <w:pStyle w:val="Paragrafi0"/>
        <w:rPr>
          <w:rFonts w:ascii="Garamond" w:hAnsi="Garamond"/>
          <w:sz w:val="24"/>
          <w:szCs w:val="24"/>
        </w:rPr>
      </w:pPr>
      <w:r w:rsidRPr="004F743A">
        <w:rPr>
          <w:rFonts w:ascii="Garamond" w:hAnsi="Garamond"/>
          <w:sz w:val="24"/>
          <w:szCs w:val="24"/>
        </w:rPr>
        <w:t>3. Kuotat e pranimit për programet e studimit të ciklti të parë me kohë të plotë, të përcaktuara në shkronjën “a” të pikës 2 të këtij vendimi, të ndara sipas programeve të studimit në institucionet publike të arsimit të lartë, pasqyrohen në tabelën nr.1, bashkëlidhur këtij vendimi.</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4. Kuotat e pranimit për programet e studimit të ciklit të parë, të përcaktuara në shkronjën “b” të pikës 2 të këtij vendimi, ndahen ndërmjet kandidatëve shqiptarë nga trojet jashtë kufijve të vendit: Kosovë, Maqedoni, Mali i Zi, Preshevë, Bujanovc dhe Medvegjë. Administrimi i këtyre kuotave për kandidatët nga Republika e Maqedonisë, nga Republika e Malit të Zi dhe nga prefektura e Preshevës, Bujanovcit dhe Medvegjës kryhet nga ministritë e arsimit dhe autoritetet përgjegjëse respektive, të cilat sjellin, në Ministrinë e Arsimit dhe Shkencës të Republikës së Shqipërisë, listat e kandidatëve fitues. Ministria e Arsimit dhe Shkencës ua përcjell listat institucioneve publike të arsimit të lartë.</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 xml:space="preserve">Në bazë të marrëveshjes ndërmjet Këshillit të Ministrave të Republikës së Shqipërisë dhe Qeverisë së Republikës së Kosovës për bashkëpunimin në fushën e arsimit dhe shkencës, kandidatët nga Republika e Kosovës aplikojnë direkt në institucionet publike të arsimit të lartë në Republikën e </w:t>
      </w:r>
      <w:r w:rsidRPr="004F743A">
        <w:rPr>
          <w:rFonts w:ascii="Garamond" w:hAnsi="Garamond"/>
          <w:sz w:val="24"/>
          <w:szCs w:val="24"/>
        </w:rPr>
        <w:lastRenderedPageBreak/>
        <w:t>Shqipërisë, në programe të studimit të ciklit të parë me kohë të plotë. Kriteret e vlerësimit dhe të pranimit të tyre në këto programe studimi përcaktohen nga vetë institucionet publike të arsimit të lartë dhe bëhen të njohura në median e shkruar e elektronike për të gjithë kandidatët e interesuar.</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 xml:space="preserve">Kuotat e pranimit, të përcaktuara në shkronjën “b” të pikës 2 të këtij vendimi, të ndara sipas programeve të studimit në institucionet publike të arsimit të lartë, pasqyrohen në tabelën nr.2, bashkëlidhur këtij vendimi. </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5. Kuotat e pranimit për të verbërit ndahen për kandidatët me statusin e të verbërit nga Ministria e Arsimit dhe Shkencës, pasi merret mendimi i Shoqatës Kombëtare të të Verbërve.</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6. Kuotat e pranimit për romët ndahen nga Ministria e Arsimit dhe Shkencës, pasi merret mendimi i Shoqatës Kombëtare të Romëve.</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7. Kuotat e pranimeve për shtetasit e huaj, që do të studiojnë në institucionet publike të arsimit të lartë të Republikës së Shqipërisë, administrohen nga Ministria e Arsimit dhe Shkencës. Ato shpërndahen në bazë të marrëveshjeve dy apo shumëpalëshe, si dhe në bazë të kërkesave individuale, të paraqitura në ministri nga persona të interesuar.</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8. Tarifat vjetore të shkollimit për studentët, që regjistrohen në vitin e parë, në programet e studimit të ciklit të parë me kohë të plotë, në vitin akademik 2010-2011, pasqyrohen në tabelën nr.3, bashkëlidhur këtij vendimi.</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 xml:space="preserve">9. Kandidatët, që fitojnë të drejtën për të ndjekur një program studimi të ciklit të parë, në institucionet publike të arsimit të lartë, në vitin e ri akademik 2010-2011, dhe që vijnë nga këto shtresa sociale si: të verbër/të shurdhër, invalidë paraplegjikë dhe tetraplegjikë, studentë me aftësi të kufizuara, fëmijë romë, ballkano-egjiptianë apo fëmijë të policëve </w:t>
      </w:r>
      <w:r w:rsidR="004F743A" w:rsidRPr="004F743A">
        <w:rPr>
          <w:rFonts w:ascii="Garamond" w:hAnsi="Garamond"/>
          <w:i/>
          <w:sz w:val="24"/>
          <w:szCs w:val="24"/>
          <w:lang w:val="sq-AL"/>
        </w:rPr>
        <w:t>dhe ushtarakëve të Forcave të Armatosura</w:t>
      </w:r>
      <w:r w:rsidR="004F743A" w:rsidRPr="004F743A">
        <w:rPr>
          <w:rFonts w:ascii="Garamond" w:hAnsi="Garamond"/>
          <w:sz w:val="24"/>
          <w:szCs w:val="24"/>
        </w:rPr>
        <w:t xml:space="preserve"> </w:t>
      </w:r>
      <w:r w:rsidRPr="004F743A">
        <w:rPr>
          <w:rFonts w:ascii="Garamond" w:hAnsi="Garamond"/>
          <w:sz w:val="24"/>
          <w:szCs w:val="24"/>
        </w:rPr>
        <w:t>të rënë ose të plagosur për shkak të detyrës, e të ish-të përndjekurve politikë, përjashtohen nga tarifa vjetore e shkollimit. Nga kjo tarifë vjetore shkollimi përjashtohen edhe studentët e viteve më të larta, që vijnë nga këto shtresa sociale.</w:t>
      </w:r>
    </w:p>
    <w:p w:rsidR="00165C77" w:rsidRPr="004F743A" w:rsidRDefault="00165C77" w:rsidP="004F743A">
      <w:pPr>
        <w:pStyle w:val="Paragrafi0"/>
        <w:rPr>
          <w:rFonts w:ascii="Garamond" w:hAnsi="Garamond"/>
          <w:sz w:val="24"/>
          <w:szCs w:val="24"/>
          <w:lang w:val="it-IT"/>
        </w:rPr>
      </w:pPr>
      <w:r w:rsidRPr="004F743A">
        <w:rPr>
          <w:rFonts w:ascii="Garamond" w:hAnsi="Garamond"/>
          <w:sz w:val="24"/>
          <w:szCs w:val="24"/>
          <w:lang w:val="it-IT"/>
        </w:rPr>
        <w:t>10. Studenti i nënshtrohet vetëm një tarife vjetore shkollimi. Studenti përsëritës i nënshtrohet tarifës vjetore të shkollimit të vitit akademik, në të cilin vazhdon studimet.</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11. Në çdo program studimi, në ciklin e parë të studimeve me kohë të plotë, në vitin akademik 2010-2011, 5 (pesë) studentët e vitit të parë, me rezultatet më të larta në plotësimin e kritereve të pranimit (pikët e fituara në sistemin meritë-preferencë), në programin e studimit përkatës, përjashtohen nga tarifa vjetore e shkollimit. Këtë përjashtim, në asnjë rast, nuk e përfitojnë studentët me notën mesatare të shkollës së mesme më të ulët se nota 9 (nëntë).</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12. Kuotat e pranimeve për një program të dytë studimi, të përcaktuara në shkronjën “b” të pikës 1 të këtij vendimi, si edhe kuotat për transferim studimesh, të përcaktuara në shkronjën “c” të pikës 1 të këtij vendimi, shpërndahen nga Ministria e Arsimit dhe Shkencës, mbështetur dhe në kërkesat e institucioneve publike të arsimit të lartë.</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13. Transferimet e studentëve, në numrin përkatës të kuotës së përcaktuar nga Ministria e Arsimit dhe e Shkencës, bëhen nga vetë institucionet publike të arsimit të lartë, sipas kritereve të përcaktuara në aktet nënligjore dhe në statutin e rregulloret e tyre.</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14. Studentët, që transferojnë studimet nga një program studimi apo nga programe të mëparshme studimi të ciklit të parë në një program tjetër studimi në institucionet publike të arsimit të lartë, i nënshtrohen tarifës së përgjithshme vjetore të shkollimit të programit të studimit përkatës, në të cilin ata kanë kërkuar të transferojnë studimet.</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15. Kandidatët, që dëshirojnë të vijojnë studimet në një program të dytë studimi, e fitojnë këtë të drejtë, brenda numrit të kuotës së përcaktuar nga Ministria e Arsimit dhe Shkencës, sipas kritereve të përcaktuara nga vetë institucionet publike të arsimit të lartë për pranimet në një program të dytë studimi dhe pa iu nënshtruar detyrimeve të “Maturës Shtetërore”.</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 xml:space="preserve">16. Kandidatët, që kërkojnë të studiojnë në program të dytë studimi në Akademinë e Arteve, në Universitetin e Sporteve të Tiranës, në programin e studimit të ciklit të parë “Edukim fizik dhe </w:t>
      </w:r>
      <w:r w:rsidRPr="004F743A">
        <w:rPr>
          <w:rFonts w:ascii="Garamond" w:hAnsi="Garamond"/>
          <w:sz w:val="24"/>
          <w:szCs w:val="24"/>
        </w:rPr>
        <w:lastRenderedPageBreak/>
        <w:t>sporte” të universitetit “Luigj Gurakuqi”, Shkodër e të universitetit “Aleksandër Xhuvani”, Elbasan, në programin e studimit të ciklit të parë “Pedagogji e specializuar”, në universitetin “Ismail Qemali”, Vlorë, dhe në programin e studimit të “Arkitekturës” të Universitetit Politeknik të Tiranës, duhen të plotësojnë edhe kriteret e veçanta (përfshirë këtu konkurset e pranimit), të vendosura nga vetë këto institucione.</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17. Studentët, që vijojnë një program të dytë studimit i nënshtrohen tarifës vjetore të shkollimit të njëjtë me koston e plotë të studimeve, të përcaktuar në tabelën nr.3, bashkëlidhur këtij vendimi (kolona 3). Nga ky rregull përjashtohen vetëm studentët e shkëlqyer.</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18. Shtetasit e huaj, që vazhdojnë studimet në një program të dytë studimi në institucionet publike të arsimit të lartë, i nënshtrohen së njëjtës tarifë shkollimi, si shtetasit shqiptarë, me përjashtim të rasteve kur, me marrëveshje zyrtare shtetërore, janë vendosur mënyra të tjera të përcaktimit të tarifave të shkollimit.</w:t>
      </w:r>
    </w:p>
    <w:p w:rsidR="002F6442" w:rsidRPr="004F743A" w:rsidRDefault="002F6442" w:rsidP="002F6442">
      <w:pPr>
        <w:pStyle w:val="Paragrafi0"/>
        <w:rPr>
          <w:rFonts w:ascii="Garamond" w:hAnsi="Garamond"/>
          <w:i/>
          <w:sz w:val="24"/>
          <w:szCs w:val="24"/>
        </w:rPr>
      </w:pPr>
      <w:r w:rsidRPr="004F743A">
        <w:rPr>
          <w:rFonts w:ascii="Garamond" w:hAnsi="Garamond"/>
          <w:i/>
          <w:sz w:val="24"/>
          <w:szCs w:val="24"/>
        </w:rPr>
        <w:t xml:space="preserve">19. </w:t>
      </w:r>
      <w:r w:rsidRPr="004F743A">
        <w:rPr>
          <w:rFonts w:ascii="Garamond" w:hAnsi="Garamond"/>
          <w:i/>
          <w:sz w:val="24"/>
          <w:szCs w:val="24"/>
        </w:rPr>
        <w:t xml:space="preserve">Pranimi i studentëve në shkollat e larta publike bëhet në dy raunde dhe mbështetet në rezultatet e shkollës së mesme, të Maturës Shtetërore (merita), si dhe përzgjedhjes së programeve të studimit (preferenca) të bërë nga vetë kandidati/ja. </w:t>
      </w:r>
    </w:p>
    <w:p w:rsidR="002F6442" w:rsidRPr="004F743A" w:rsidRDefault="002F6442" w:rsidP="002F6442">
      <w:pPr>
        <w:pStyle w:val="Paragrafi0"/>
        <w:rPr>
          <w:rFonts w:ascii="Garamond" w:hAnsi="Garamond"/>
          <w:i/>
          <w:sz w:val="24"/>
          <w:szCs w:val="24"/>
        </w:rPr>
      </w:pPr>
      <w:r w:rsidRPr="004F743A">
        <w:rPr>
          <w:rFonts w:ascii="Garamond" w:hAnsi="Garamond"/>
          <w:i/>
          <w:sz w:val="24"/>
          <w:szCs w:val="24"/>
        </w:rPr>
        <w:t xml:space="preserve">Kuotat, që mbeten të parealizuara, rishpërndahen nga Ministria e Arsimit dhe Shkencës në bazë të propozimeve të institucioneve publike të arsimit të lartë. Shpërndarja e kuotave realizohet nëpërmjet plotësimit të formularit të ri të aplikimit (A3) sipas preferencave të kandidatëve. </w:t>
      </w:r>
    </w:p>
    <w:p w:rsidR="002F6442" w:rsidRPr="004F743A" w:rsidRDefault="002F6442" w:rsidP="002F6442">
      <w:pPr>
        <w:pStyle w:val="Paragrafi0"/>
        <w:rPr>
          <w:rFonts w:ascii="Garamond" w:hAnsi="Garamond"/>
          <w:i/>
          <w:sz w:val="24"/>
          <w:szCs w:val="24"/>
        </w:rPr>
      </w:pPr>
      <w:r w:rsidRPr="004F743A">
        <w:rPr>
          <w:rFonts w:ascii="Garamond" w:hAnsi="Garamond"/>
          <w:i/>
          <w:sz w:val="24"/>
          <w:szCs w:val="24"/>
        </w:rPr>
        <w:t xml:space="preserve">Kanë të drejtë te plotësojnë formularin A3 të gjithë kandidatët, të cilët kanë aplikuar me formularin A2 dhe nuk figurojnë të regjistruar në asnjë program studimi edhe pas mbylljes së fazës përfundimtare të regjistrimeve. </w:t>
      </w:r>
    </w:p>
    <w:p w:rsidR="00165C77" w:rsidRPr="004F743A" w:rsidRDefault="002F6442" w:rsidP="002F6442">
      <w:pPr>
        <w:pStyle w:val="Paragrafi0"/>
        <w:rPr>
          <w:rFonts w:ascii="Garamond" w:hAnsi="Garamond"/>
          <w:i/>
          <w:sz w:val="24"/>
          <w:szCs w:val="24"/>
        </w:rPr>
      </w:pPr>
      <w:r w:rsidRPr="004F743A">
        <w:rPr>
          <w:rFonts w:ascii="Garamond" w:hAnsi="Garamond"/>
          <w:i/>
          <w:sz w:val="24"/>
          <w:szCs w:val="24"/>
        </w:rPr>
        <w:t>Kuotat e parealizuara pas përfundimit të fazës përfundimtare të regjistrimeve në programet e studimit të ciklit të parë, me kohë të plotë, për vitin akademik 2010-2011, të shpërndahen, sipas tabelës bashkëlidhur këtij vendimi.</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20. Ngarkohen Ministria e Arsimit dhe Shkencës dhe institucionet publike të arsimit të lartë për zbatimin e këtij vendimi.</w:t>
      </w:r>
    </w:p>
    <w:p w:rsidR="00165C77" w:rsidRPr="004F743A" w:rsidRDefault="00165C77" w:rsidP="00165C77">
      <w:pPr>
        <w:pStyle w:val="Paragrafi0"/>
        <w:rPr>
          <w:rFonts w:ascii="Garamond" w:hAnsi="Garamond"/>
          <w:sz w:val="24"/>
          <w:szCs w:val="24"/>
        </w:rPr>
      </w:pPr>
      <w:r w:rsidRPr="004F743A">
        <w:rPr>
          <w:rFonts w:ascii="Garamond" w:hAnsi="Garamond"/>
          <w:sz w:val="24"/>
          <w:szCs w:val="24"/>
        </w:rPr>
        <w:t>Ky vendim hyn në fuqi pas botimit në Fletoren Zyrtare.</w:t>
      </w:r>
    </w:p>
    <w:p w:rsidR="00165C77" w:rsidRPr="004F743A" w:rsidRDefault="00165C77" w:rsidP="00165C77">
      <w:pPr>
        <w:pStyle w:val="Paragrafi0"/>
        <w:rPr>
          <w:rFonts w:ascii="Garamond" w:hAnsi="Garamond"/>
          <w:sz w:val="24"/>
          <w:szCs w:val="24"/>
        </w:rPr>
      </w:pPr>
    </w:p>
    <w:p w:rsidR="00165C77" w:rsidRPr="004F743A" w:rsidRDefault="00165C77" w:rsidP="00165C77">
      <w:pPr>
        <w:pStyle w:val="Autoriteti"/>
        <w:keepNext w:val="0"/>
        <w:rPr>
          <w:rFonts w:ascii="Garamond" w:hAnsi="Garamond"/>
          <w:sz w:val="24"/>
          <w:szCs w:val="24"/>
        </w:rPr>
      </w:pPr>
      <w:r w:rsidRPr="004F743A">
        <w:rPr>
          <w:rFonts w:ascii="Garamond" w:hAnsi="Garamond"/>
          <w:sz w:val="24"/>
          <w:szCs w:val="24"/>
        </w:rPr>
        <w:t>Kryeministri</w:t>
      </w:r>
    </w:p>
    <w:p w:rsidR="00165C77" w:rsidRPr="004F743A" w:rsidRDefault="00165C77" w:rsidP="00165C77">
      <w:pPr>
        <w:pStyle w:val="AutoritetiEmer"/>
        <w:rPr>
          <w:rFonts w:ascii="Garamond" w:hAnsi="Garamond"/>
          <w:sz w:val="24"/>
          <w:szCs w:val="24"/>
        </w:rPr>
      </w:pPr>
      <w:r w:rsidRPr="004F743A">
        <w:rPr>
          <w:rFonts w:ascii="Garamond" w:hAnsi="Garamond"/>
          <w:sz w:val="24"/>
          <w:szCs w:val="24"/>
        </w:rPr>
        <w:t>Sali Berisha</w:t>
      </w:r>
    </w:p>
    <w:p w:rsidR="00165C77" w:rsidRPr="004F743A" w:rsidRDefault="00165C77" w:rsidP="00165C77">
      <w:pPr>
        <w:pStyle w:val="Paragrafi0"/>
        <w:rPr>
          <w:rFonts w:ascii="Garamond" w:hAnsi="Garamond"/>
          <w:sz w:val="24"/>
          <w:szCs w:val="24"/>
        </w:rPr>
      </w:pPr>
    </w:p>
    <w:p w:rsidR="00165C77" w:rsidRPr="004F743A" w:rsidRDefault="00165C77" w:rsidP="00165C77">
      <w:pPr>
        <w:pStyle w:val="Paragrafi0"/>
        <w:rPr>
          <w:rFonts w:ascii="Garamond" w:hAnsi="Garamond"/>
          <w:sz w:val="24"/>
          <w:szCs w:val="24"/>
        </w:rPr>
      </w:pPr>
    </w:p>
    <w:p w:rsidR="00165C77" w:rsidRPr="004F743A" w:rsidRDefault="00165C77" w:rsidP="00165C77">
      <w:pPr>
        <w:pStyle w:val="Paragrafi0"/>
        <w:rPr>
          <w:rFonts w:ascii="Garamond" w:hAnsi="Garamond"/>
          <w:sz w:val="24"/>
          <w:szCs w:val="24"/>
        </w:rPr>
      </w:pPr>
    </w:p>
    <w:p w:rsidR="00165C77" w:rsidRPr="004F743A" w:rsidRDefault="00165C77" w:rsidP="00165C77">
      <w:pPr>
        <w:pStyle w:val="Tabele"/>
        <w:rPr>
          <w:rFonts w:ascii="Garamond" w:hAnsi="Garamond"/>
          <w:sz w:val="24"/>
          <w:szCs w:val="24"/>
        </w:rPr>
        <w:sectPr w:rsidR="00165C77" w:rsidRPr="004F743A" w:rsidSect="00165C77">
          <w:pgSz w:w="12240" w:h="15840"/>
          <w:pgMar w:top="1418" w:right="1418" w:bottom="1418" w:left="1418" w:header="1304" w:footer="1134" w:gutter="0"/>
          <w:cols w:space="720"/>
          <w:docGrid w:linePitch="360"/>
        </w:sectPr>
      </w:pPr>
    </w:p>
    <w:p w:rsidR="00165C77" w:rsidRPr="004F743A" w:rsidRDefault="00165C77" w:rsidP="00165C77">
      <w:pPr>
        <w:pStyle w:val="Tabele"/>
        <w:jc w:val="center"/>
        <w:rPr>
          <w:rFonts w:ascii="Garamond" w:hAnsi="Garamond"/>
          <w:sz w:val="24"/>
          <w:szCs w:val="24"/>
          <w:lang w:val="it-IT"/>
        </w:rPr>
      </w:pPr>
      <w:r w:rsidRPr="004F743A">
        <w:rPr>
          <w:rFonts w:ascii="Garamond" w:hAnsi="Garamond"/>
          <w:sz w:val="24"/>
          <w:szCs w:val="24"/>
          <w:lang w:val="it-IT"/>
        </w:rPr>
        <w:lastRenderedPageBreak/>
        <w:t>KUOTAT E PRANIMEVE TË REJA PËR VITIN AKADEMIK 2010-2011</w:t>
      </w:r>
    </w:p>
    <w:p w:rsidR="00165C77" w:rsidRPr="004F743A" w:rsidRDefault="00165C77" w:rsidP="00165C77">
      <w:pPr>
        <w:pStyle w:val="Tabele"/>
        <w:jc w:val="center"/>
        <w:rPr>
          <w:rFonts w:ascii="Garamond" w:hAnsi="Garamond"/>
          <w:sz w:val="24"/>
          <w:szCs w:val="24"/>
        </w:rPr>
      </w:pPr>
      <w:r w:rsidRPr="004F743A">
        <w:rPr>
          <w:rFonts w:ascii="Garamond" w:hAnsi="Garamond"/>
          <w:caps/>
          <w:sz w:val="24"/>
          <w:szCs w:val="24"/>
        </w:rPr>
        <w:t>Tabela nr.1</w:t>
      </w:r>
    </w:p>
    <w:p w:rsidR="00165C77" w:rsidRPr="004F743A" w:rsidRDefault="00165C77" w:rsidP="00165C77">
      <w:pPr>
        <w:pStyle w:val="Tabele"/>
        <w:rPr>
          <w:rFonts w:ascii="Garamond" w:hAnsi="Garamond"/>
          <w:sz w:val="24"/>
          <w:szCs w:val="24"/>
        </w:rPr>
      </w:pPr>
    </w:p>
    <w:tbl>
      <w:tblPr>
        <w:tblW w:w="14360" w:type="dxa"/>
        <w:jc w:val="center"/>
        <w:tblLook w:val="04A0" w:firstRow="1" w:lastRow="0" w:firstColumn="1" w:lastColumn="0" w:noHBand="0" w:noVBand="1"/>
      </w:tblPr>
      <w:tblGrid>
        <w:gridCol w:w="564"/>
        <w:gridCol w:w="3229"/>
        <w:gridCol w:w="880"/>
        <w:gridCol w:w="880"/>
        <w:gridCol w:w="840"/>
        <w:gridCol w:w="900"/>
        <w:gridCol w:w="1000"/>
        <w:gridCol w:w="820"/>
        <w:gridCol w:w="960"/>
        <w:gridCol w:w="800"/>
        <w:gridCol w:w="760"/>
        <w:gridCol w:w="880"/>
        <w:gridCol w:w="1020"/>
        <w:gridCol w:w="1120"/>
      </w:tblGrid>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Nr.</w:t>
            </w:r>
          </w:p>
        </w:tc>
        <w:tc>
          <w:tcPr>
            <w:tcW w:w="30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PROGRAMI I STUDIMIT</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UT</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UPT</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UBT</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UE</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UGJ</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UK</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USH</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UV</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AA</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UST</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UD</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TOTAL</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Histori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190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Gjeografi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190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Histori-Gjeografi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220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Histori dhe Gjuhë Gjermane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Gjeografi dhe Gjuhë Italiane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Gjuhë - Letërsi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Gjuhë Letërsi-Anglisht (Filiali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Gjuhë Letërsi shqipe dhe frënge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Gjuhë shqipe dhe frënge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color w:val="000000"/>
                <w:sz w:val="24"/>
                <w:szCs w:val="24"/>
              </w:rPr>
            </w:pPr>
            <w:r w:rsidRPr="004F743A">
              <w:rPr>
                <w:rFonts w:ascii="Garamond" w:eastAsia="Times New Roman" w:hAnsi="Garamond" w:cs="Arial"/>
                <w:color w:val="000000"/>
                <w:sz w:val="24"/>
                <w:szCs w:val="2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Gazetari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color w:val="000000"/>
                <w:sz w:val="24"/>
                <w:szCs w:val="24"/>
              </w:rPr>
            </w:pPr>
            <w:r w:rsidRPr="004F743A">
              <w:rPr>
                <w:rFonts w:ascii="Garamond" w:eastAsia="Times New Roman" w:hAnsi="Garamond" w:cs="Arial"/>
                <w:color w:val="000000"/>
                <w:sz w:val="24"/>
                <w:szCs w:val="24"/>
              </w:rPr>
              <w:t>60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Gazetari dhe Komunikim</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Edukate Qytetare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80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Gjuhe Angleze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180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680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14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Gjuhe Angleze (Filiali Sarande)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Gjuhe Angleze (Filiali Kukes)</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Gjuhe Frenge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110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240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Gjuhe Italiane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Gjuhë Spanjolle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Gjuhe Ruse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Gjuhe Gjermane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110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220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Gjuhë Greke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xml:space="preserve">Gjuhë letërsi dhe qyteterim grek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Gjuhë Turke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Cikli i Ulët</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CU dhe Anglisht ne Ciklin fillor( Pogradec)</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Cikli i Ulët Parashkollor</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Shkenca të lëvizjes</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lastRenderedPageBreak/>
              <w:t>28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Fushat eveprim. fiz., shënd.,rekreacion.</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80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Edukim Fizik dhe Sporte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120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xml:space="preserve">Matematikë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Matematikë( Matematikë- Fizikë)</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xml:space="preserve">Fizikë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 Matematike dhe Informatike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120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Matematikë-Fizikë</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Matematikë-Fizikë (F.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Biologji - Kimi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Biologji-Kimi(F.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Bioteknologji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80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Biologji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220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xml:space="preserve">Kimi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180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Kimi  ushqimore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Kimi Industriale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Aktuaristikë</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Nr.</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PROGRAMI I STUDIMIT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UPT</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UBT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UE</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UGJ</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UK</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USH</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UV</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AA</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UST</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UD</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TOTAL</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44</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Matematikë-Financë</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45</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Matematikë-Informatikë</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270</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46</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Matematikë-Informatikë (F. Peshkopi)</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47</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Informatikë</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150</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200</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650</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48</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Informatikë-Anglisht(F. Peshkopi)</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Fizikë dhe Teknologji Informacioni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Teknologji Informacioni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150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200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200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710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Teknologji Informacioni dhe Komunikimi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lastRenderedPageBreak/>
              <w:t>52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Shkencat Kompjutacionale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Shkencat Kompjuterike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200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240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Sistemet e informacionit</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Administrim dhe Pune sociale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Punë Sociale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240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Filozofi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Filozofi-Sociologji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Sociologji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Pedagogji e Specializuar</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Psikologji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240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Psikologji-Sociologji(F.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Shkencat Politike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Drejtësi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790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Regji Filmi dhe TV</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Aktrim</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12</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Regji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8</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Skenografi-Kostumografi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Koreografi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12</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Pikture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Skulpture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Muzikologji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Kompozim</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Dirigjim</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Piano</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Violine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Violonçel</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Viole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Kitare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Kontrabas</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Flaut</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Oboe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Klarinete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Fagot</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Korno</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Trombe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Trombon</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Bastub</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Kengetar</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Fizarmonike klasike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Nr.</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PROGRAMI I STUDIMIT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UPT</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UBT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UE</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UGJ</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UK</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USH</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UV</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AA</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UST</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UD</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TOTAL</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91</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Pedagogji muzikore</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9</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Shendeti Publik</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40</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93</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Mjekësi e Pergjithshme</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220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220</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94</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Stomatologji</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120</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120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Farmaci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120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Infermieri e Pergjithshme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250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730</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97</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Infermieri (Kukës)</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98</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Mami  (Infermieri)</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Teknik i Larte Laboratori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Fizioterapi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25</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75</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Logopedi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Imazheri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Administrim Publik</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Administrim-Biznes</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410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770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Menaxhim</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Ekonomiks</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Ekonomia dhe E drejta</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Financë</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120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Finance-Kontabilitet</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410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980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110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Informatike Ekonomike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160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111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Administ-Biznes(Turizem)Fil.Sarande)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112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Administrim-Biznes (Fil.Kukës)</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113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Turizëm (Menaxhim)</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380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114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Turizem, filiali Pogradec</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115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Marketing</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116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Navigacioni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117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Navigacioni ( Peshkim Detar)</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118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Mekanike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220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119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Mekanike ( Inxhinieri Navale)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Metalurgji Materiale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Tekstile dhe Mode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Inxhnieri ekonomike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80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Elektrike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Elektrike (Energjitike)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nil"/>
              <w:right w:val="nil"/>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p>
        </w:tc>
        <w:tc>
          <w:tcPr>
            <w:tcW w:w="760" w:type="dxa"/>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Elektrike (Aut. Industrise)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Elektronike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Informatike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Telekomunikacioni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Mekatronike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130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Ndertimi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131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Hidroteknike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132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Arkitekturë</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120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133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Matematike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134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Fizike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135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Gjeodet</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136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Mjedisi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137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ne Shkencat e Tokes</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Nr.</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PROGRAMI I STUDIMIT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UPT</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UBT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UE</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UGJ</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UK</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USH</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UV</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AA</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UST</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UD</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TOTAL</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138</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xml:space="preserve"> Inxhinieri Gjeoinformatike</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150</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139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i Gjeoburimeve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140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Menaxhim Agrobiznesi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210</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141</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Menaxhim Agrobiznesi(Fil.Lushnje)</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40</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142</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Ekonomi dhe Politike Agrare</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143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Finance-Kontabilitet(Filiali Lushnje)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144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Mbrojtje Bimësh</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145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Hortikulturë</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146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Hortikulturë (Filiali Lushnje)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40</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147</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Prodhim bimor</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148</w:t>
            </w:r>
          </w:p>
        </w:tc>
        <w:tc>
          <w:tcPr>
            <w:tcW w:w="30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Zootekni dhe Biznes Blegtoral</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149</w:t>
            </w:r>
          </w:p>
        </w:tc>
        <w:tc>
          <w:tcPr>
            <w:tcW w:w="3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Akuakulturë dhe Menaxh.. Peshkimi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Agromjedisi dhe Ekologji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Teknologji Agroushqimore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Vreshtari-Enologji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Pyjesh</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80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Perpunim Druri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80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Mjekesi Veterinare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lastRenderedPageBreak/>
              <w:t>156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Agromekanizim(Inxh.Agrare)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Agromekanizim(Inxh.Agr.Filiali. Lushnje.)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Teknologji e prodhimit bimor</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Agroushqim(Inxh. Agronimike)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160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Shkenca të Administrimit</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250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161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Menaxhim Turizmi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162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Cikli i Ulët</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163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Ekspert në Proceset e Formimit</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164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Ekspert në Proc.e Form.(Fil.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165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Informatikë(Spec. Rrjetash. Kompjuterike.)</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166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Informatikë(Spec. Rrj. Komp. 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167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Menaxhim Ndërtimi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168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Shk.të Administ.(Menaxhim Transporti)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169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xml:space="preserve"> Mekanike(Teknologji Automobilash)</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170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Drejtësi(Asistent ligjor)</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171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Drejtësi(Asistent ligjor)F.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172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Shken. të Admiistrimit.(As. Administrativ)</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173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xml:space="preserve">Infermieri e Pergjithshme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174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Infermieri e pergjithshme(F.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175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Ndihmës dentist</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176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Shken. të Adm.(. Financ.-Kont.)Peshkopi)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177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Shkenc. të Adm. (Financ.Bank)Peshkopi.)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178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Shkenc. të Adm.(Men.. Mark)Peshkopi)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179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Shkenc. të Adm. (Admi. Biz.)Peshkopi)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180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Menaxhim Banka ( FASTIP)</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181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Menaxhim Turizmi ( FASTIP)</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182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Menaxhim i SME-ve ( FASTIP)</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500" w:type="dxa"/>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p>
        </w:tc>
        <w:tc>
          <w:tcPr>
            <w:tcW w:w="3000" w:type="dxa"/>
            <w:tcBorders>
              <w:top w:val="nil"/>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GJITHSEJ</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color w:val="000000"/>
                <w:sz w:val="24"/>
                <w:szCs w:val="24"/>
              </w:rPr>
            </w:pPr>
            <w:r w:rsidRPr="004F743A">
              <w:rPr>
                <w:rFonts w:ascii="Garamond" w:eastAsia="Times New Roman" w:hAnsi="Garamond" w:cs="Arial"/>
                <w:b/>
                <w:bCs/>
                <w:color w:val="000000"/>
                <w:sz w:val="24"/>
                <w:szCs w:val="24"/>
              </w:rPr>
              <w:t>5940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color w:val="000000"/>
                <w:sz w:val="24"/>
                <w:szCs w:val="24"/>
              </w:rPr>
            </w:pPr>
            <w:r w:rsidRPr="004F743A">
              <w:rPr>
                <w:rFonts w:ascii="Garamond" w:eastAsia="Times New Roman" w:hAnsi="Garamond" w:cs="Arial"/>
                <w:b/>
                <w:bCs/>
                <w:color w:val="000000"/>
                <w:sz w:val="24"/>
                <w:szCs w:val="24"/>
              </w:rPr>
              <w:t>2170</w:t>
            </w:r>
          </w:p>
        </w:tc>
        <w:tc>
          <w:tcPr>
            <w:tcW w:w="84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color w:val="000000"/>
                <w:sz w:val="24"/>
                <w:szCs w:val="24"/>
              </w:rPr>
            </w:pPr>
            <w:r w:rsidRPr="004F743A">
              <w:rPr>
                <w:rFonts w:ascii="Garamond" w:eastAsia="Times New Roman" w:hAnsi="Garamond" w:cs="Arial"/>
                <w:b/>
                <w:bCs/>
                <w:color w:val="000000"/>
                <w:sz w:val="24"/>
                <w:szCs w:val="24"/>
              </w:rPr>
              <w:t>1570</w:t>
            </w:r>
          </w:p>
        </w:tc>
        <w:tc>
          <w:tcPr>
            <w:tcW w:w="9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color w:val="000000"/>
                <w:sz w:val="24"/>
                <w:szCs w:val="24"/>
              </w:rPr>
            </w:pPr>
            <w:r w:rsidRPr="004F743A">
              <w:rPr>
                <w:rFonts w:ascii="Garamond" w:eastAsia="Times New Roman" w:hAnsi="Garamond" w:cs="Arial"/>
                <w:b/>
                <w:bCs/>
                <w:color w:val="000000"/>
                <w:sz w:val="24"/>
                <w:szCs w:val="24"/>
              </w:rPr>
              <w:t>2090</w:t>
            </w:r>
          </w:p>
        </w:tc>
        <w:tc>
          <w:tcPr>
            <w:tcW w:w="10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color w:val="000000"/>
                <w:sz w:val="24"/>
                <w:szCs w:val="24"/>
              </w:rPr>
            </w:pPr>
            <w:r w:rsidRPr="004F743A">
              <w:rPr>
                <w:rFonts w:ascii="Garamond" w:eastAsia="Times New Roman" w:hAnsi="Garamond" w:cs="Arial"/>
                <w:b/>
                <w:bCs/>
                <w:color w:val="000000"/>
                <w:sz w:val="24"/>
                <w:szCs w:val="24"/>
              </w:rPr>
              <w:t>1630</w:t>
            </w:r>
          </w:p>
        </w:tc>
        <w:tc>
          <w:tcPr>
            <w:tcW w:w="8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color w:val="000000"/>
                <w:sz w:val="24"/>
                <w:szCs w:val="24"/>
              </w:rPr>
            </w:pPr>
            <w:r w:rsidRPr="004F743A">
              <w:rPr>
                <w:rFonts w:ascii="Garamond" w:eastAsia="Times New Roman" w:hAnsi="Garamond" w:cs="Arial"/>
                <w:b/>
                <w:bCs/>
                <w:color w:val="000000"/>
                <w:sz w:val="24"/>
                <w:szCs w:val="24"/>
              </w:rPr>
              <w:t>1580</w:t>
            </w:r>
          </w:p>
        </w:tc>
        <w:tc>
          <w:tcPr>
            <w:tcW w:w="9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color w:val="000000"/>
                <w:sz w:val="24"/>
                <w:szCs w:val="24"/>
              </w:rPr>
            </w:pPr>
            <w:r w:rsidRPr="004F743A">
              <w:rPr>
                <w:rFonts w:ascii="Garamond" w:eastAsia="Times New Roman" w:hAnsi="Garamond" w:cs="Arial"/>
                <w:b/>
                <w:bCs/>
                <w:color w:val="000000"/>
                <w:sz w:val="24"/>
                <w:szCs w:val="24"/>
              </w:rPr>
              <w:t>2015</w:t>
            </w:r>
          </w:p>
        </w:tc>
        <w:tc>
          <w:tcPr>
            <w:tcW w:w="80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color w:val="000000"/>
                <w:sz w:val="24"/>
                <w:szCs w:val="24"/>
              </w:rPr>
            </w:pPr>
            <w:r w:rsidRPr="004F743A">
              <w:rPr>
                <w:rFonts w:ascii="Garamond" w:eastAsia="Times New Roman" w:hAnsi="Garamond" w:cs="Arial"/>
                <w:b/>
                <w:bCs/>
                <w:color w:val="000000"/>
                <w:sz w:val="24"/>
                <w:szCs w:val="24"/>
              </w:rPr>
              <w:t>2750</w:t>
            </w:r>
          </w:p>
        </w:tc>
        <w:tc>
          <w:tcPr>
            <w:tcW w:w="76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color w:val="000000"/>
                <w:sz w:val="24"/>
                <w:szCs w:val="24"/>
              </w:rPr>
            </w:pPr>
            <w:r w:rsidRPr="004F743A">
              <w:rPr>
                <w:rFonts w:ascii="Garamond" w:eastAsia="Times New Roman" w:hAnsi="Garamond" w:cs="Arial"/>
                <w:b/>
                <w:bCs/>
                <w:color w:val="000000"/>
                <w:sz w:val="24"/>
                <w:szCs w:val="24"/>
              </w:rPr>
              <w:t>200</w:t>
            </w:r>
          </w:p>
        </w:tc>
        <w:tc>
          <w:tcPr>
            <w:tcW w:w="88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color w:val="000000"/>
                <w:sz w:val="24"/>
                <w:szCs w:val="24"/>
              </w:rPr>
            </w:pPr>
            <w:r w:rsidRPr="004F743A">
              <w:rPr>
                <w:rFonts w:ascii="Garamond" w:eastAsia="Times New Roman" w:hAnsi="Garamond" w:cs="Arial"/>
                <w:b/>
                <w:bCs/>
                <w:color w:val="000000"/>
                <w:sz w:val="24"/>
                <w:szCs w:val="24"/>
              </w:rPr>
              <w:t>180</w:t>
            </w:r>
          </w:p>
        </w:tc>
        <w:tc>
          <w:tcPr>
            <w:tcW w:w="10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color w:val="000000"/>
                <w:sz w:val="24"/>
                <w:szCs w:val="24"/>
              </w:rPr>
            </w:pPr>
            <w:r w:rsidRPr="004F743A">
              <w:rPr>
                <w:rFonts w:ascii="Garamond" w:eastAsia="Times New Roman" w:hAnsi="Garamond" w:cs="Arial"/>
                <w:b/>
                <w:bCs/>
                <w:color w:val="000000"/>
                <w:sz w:val="24"/>
                <w:szCs w:val="24"/>
              </w:rPr>
              <w:t>1600</w:t>
            </w:r>
          </w:p>
        </w:tc>
        <w:tc>
          <w:tcPr>
            <w:tcW w:w="1120" w:type="dxa"/>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color w:val="000000"/>
                <w:sz w:val="24"/>
                <w:szCs w:val="24"/>
              </w:rPr>
            </w:pPr>
            <w:r w:rsidRPr="004F743A">
              <w:rPr>
                <w:rFonts w:ascii="Garamond" w:eastAsia="Times New Roman" w:hAnsi="Garamond" w:cs="Arial"/>
                <w:b/>
                <w:bCs/>
                <w:color w:val="000000"/>
                <w:sz w:val="24"/>
                <w:szCs w:val="24"/>
              </w:rPr>
              <w:t>21725</w:t>
            </w:r>
          </w:p>
        </w:tc>
      </w:tr>
    </w:tbl>
    <w:p w:rsidR="00165C77" w:rsidRPr="004F743A" w:rsidRDefault="00165C77" w:rsidP="00165C77">
      <w:pPr>
        <w:pStyle w:val="Tabele"/>
        <w:rPr>
          <w:rFonts w:ascii="Garamond" w:hAnsi="Garamond"/>
          <w:sz w:val="24"/>
          <w:szCs w:val="24"/>
        </w:rPr>
      </w:pPr>
    </w:p>
    <w:p w:rsidR="00165C77" w:rsidRPr="004F743A" w:rsidRDefault="00165C77" w:rsidP="00165C77">
      <w:pPr>
        <w:pStyle w:val="Tabele"/>
        <w:rPr>
          <w:rFonts w:ascii="Garamond" w:hAnsi="Garamond"/>
          <w:sz w:val="24"/>
          <w:szCs w:val="24"/>
        </w:rPr>
      </w:pPr>
      <w:r w:rsidRPr="004F743A">
        <w:rPr>
          <w:rFonts w:ascii="Garamond" w:hAnsi="Garamond"/>
          <w:sz w:val="24"/>
          <w:szCs w:val="24"/>
        </w:rPr>
        <w:t>Kuotat për kandidatët nga trojet për vitin akademik 2010-2011</w:t>
      </w:r>
    </w:p>
    <w:p w:rsidR="00165C77" w:rsidRPr="004F743A" w:rsidRDefault="00165C77" w:rsidP="00165C77">
      <w:pPr>
        <w:pStyle w:val="Tabele"/>
        <w:rPr>
          <w:rFonts w:ascii="Garamond" w:hAnsi="Garamond"/>
          <w:sz w:val="24"/>
          <w:szCs w:val="24"/>
        </w:rPr>
      </w:pPr>
      <w:r w:rsidRPr="004F743A">
        <w:rPr>
          <w:rFonts w:ascii="Garamond" w:hAnsi="Garamond"/>
          <w:caps/>
          <w:sz w:val="24"/>
          <w:szCs w:val="24"/>
        </w:rPr>
        <w:t>Tabela nr.2</w:t>
      </w:r>
    </w:p>
    <w:tbl>
      <w:tblPr>
        <w:tblW w:w="5033" w:type="pct"/>
        <w:jc w:val="center"/>
        <w:tblLook w:val="04A0" w:firstRow="1" w:lastRow="0" w:firstColumn="1" w:lastColumn="0" w:noHBand="0" w:noVBand="1"/>
      </w:tblPr>
      <w:tblGrid>
        <w:gridCol w:w="450"/>
        <w:gridCol w:w="2099"/>
        <w:gridCol w:w="403"/>
        <w:gridCol w:w="419"/>
        <w:gridCol w:w="504"/>
        <w:gridCol w:w="512"/>
        <w:gridCol w:w="411"/>
        <w:gridCol w:w="411"/>
        <w:gridCol w:w="419"/>
        <w:gridCol w:w="504"/>
        <w:gridCol w:w="496"/>
        <w:gridCol w:w="496"/>
        <w:gridCol w:w="403"/>
        <w:gridCol w:w="496"/>
        <w:gridCol w:w="504"/>
        <w:gridCol w:w="411"/>
        <w:gridCol w:w="411"/>
        <w:gridCol w:w="419"/>
        <w:gridCol w:w="419"/>
        <w:gridCol w:w="496"/>
        <w:gridCol w:w="450"/>
        <w:gridCol w:w="450"/>
        <w:gridCol w:w="496"/>
        <w:gridCol w:w="504"/>
        <w:gridCol w:w="512"/>
        <w:gridCol w:w="411"/>
        <w:gridCol w:w="496"/>
        <w:gridCol w:w="419"/>
        <w:gridCol w:w="419"/>
        <w:gridCol w:w="450"/>
        <w:gridCol w:w="496"/>
        <w:gridCol w:w="504"/>
        <w:gridCol w:w="419"/>
        <w:gridCol w:w="512"/>
        <w:gridCol w:w="419"/>
        <w:gridCol w:w="504"/>
        <w:gridCol w:w="411"/>
        <w:gridCol w:w="496"/>
        <w:gridCol w:w="411"/>
        <w:gridCol w:w="683"/>
      </w:tblGrid>
      <w:tr w:rsidR="00165C77" w:rsidRPr="004F743A" w:rsidTr="00165C77">
        <w:trPr>
          <w:trHeight w:val="139"/>
          <w:jc w:val="center"/>
        </w:trPr>
        <w:tc>
          <w:tcPr>
            <w:tcW w:w="11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Nr.</w:t>
            </w:r>
          </w:p>
        </w:tc>
        <w:tc>
          <w:tcPr>
            <w:tcW w:w="38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PROGRAMI I STUDIMIT</w:t>
            </w:r>
          </w:p>
        </w:tc>
        <w:tc>
          <w:tcPr>
            <w:tcW w:w="1202" w:type="pct"/>
            <w:gridSpan w:val="10"/>
            <w:tcBorders>
              <w:top w:val="single" w:sz="4" w:space="0" w:color="auto"/>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KOSOVA</w:t>
            </w:r>
          </w:p>
        </w:tc>
        <w:tc>
          <w:tcPr>
            <w:tcW w:w="1033" w:type="pct"/>
            <w:gridSpan w:val="9"/>
            <w:tcBorders>
              <w:top w:val="single" w:sz="4" w:space="0" w:color="auto"/>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MAQEDONIA</w:t>
            </w:r>
          </w:p>
        </w:tc>
        <w:tc>
          <w:tcPr>
            <w:tcW w:w="940" w:type="pct"/>
            <w:gridSpan w:val="8"/>
            <w:tcBorders>
              <w:top w:val="single" w:sz="4" w:space="0" w:color="auto"/>
              <w:left w:val="nil"/>
              <w:bottom w:val="single" w:sz="4" w:space="0" w:color="auto"/>
              <w:right w:val="single" w:sz="4" w:space="0" w:color="auto"/>
            </w:tcBorders>
            <w:shd w:val="clear" w:color="000000" w:fill="FFFFFF"/>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xml:space="preserve">    MALI I ZI</w:t>
            </w:r>
          </w:p>
        </w:tc>
        <w:tc>
          <w:tcPr>
            <w:tcW w:w="1172" w:type="pct"/>
            <w:gridSpan w:val="10"/>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PRESHEVA</w:t>
            </w:r>
          </w:p>
        </w:tc>
        <w:tc>
          <w:tcPr>
            <w:tcW w:w="16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TOTAL</w:t>
            </w:r>
          </w:p>
        </w:tc>
      </w:tr>
      <w:tr w:rsidR="00165C77" w:rsidRPr="004F743A" w:rsidTr="00165C77">
        <w:trPr>
          <w:trHeight w:val="139"/>
          <w:jc w:val="center"/>
        </w:trPr>
        <w:tc>
          <w:tcPr>
            <w:tcW w:w="112" w:type="pct"/>
            <w:vMerge/>
            <w:tcBorders>
              <w:top w:val="single" w:sz="4" w:space="0" w:color="auto"/>
              <w:left w:val="single" w:sz="4" w:space="0" w:color="auto"/>
              <w:bottom w:val="single" w:sz="4" w:space="0" w:color="000000"/>
              <w:right w:val="single" w:sz="4" w:space="0" w:color="auto"/>
            </w:tcBorders>
            <w:vAlign w:val="center"/>
          </w:tcPr>
          <w:p w:rsidR="00165C77" w:rsidRPr="004F743A" w:rsidRDefault="00165C77" w:rsidP="00165C77">
            <w:pPr>
              <w:pStyle w:val="Tabele"/>
              <w:rPr>
                <w:rFonts w:ascii="Garamond" w:eastAsia="Times New Roman" w:hAnsi="Garamond" w:cs="Arial"/>
                <w:sz w:val="24"/>
                <w:szCs w:val="24"/>
              </w:rPr>
            </w:pPr>
          </w:p>
        </w:tc>
        <w:tc>
          <w:tcPr>
            <w:tcW w:w="382" w:type="pct"/>
            <w:vMerge/>
            <w:tcBorders>
              <w:top w:val="single" w:sz="4" w:space="0" w:color="auto"/>
              <w:left w:val="single" w:sz="4" w:space="0" w:color="auto"/>
              <w:bottom w:val="single" w:sz="4" w:space="0" w:color="000000"/>
              <w:right w:val="single" w:sz="4" w:space="0" w:color="auto"/>
            </w:tcBorders>
            <w:vAlign w:val="center"/>
          </w:tcPr>
          <w:p w:rsidR="00165C77" w:rsidRPr="004F743A" w:rsidRDefault="00165C77" w:rsidP="00165C77">
            <w:pPr>
              <w:pStyle w:val="Tabele"/>
              <w:rPr>
                <w:rFonts w:ascii="Garamond" w:eastAsia="Times New Roman" w:hAnsi="Garamond" w:cs="Arial"/>
                <w:b/>
                <w:bCs/>
                <w:sz w:val="24"/>
                <w:szCs w:val="24"/>
              </w:rPr>
            </w:pP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UT</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AA</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UBT</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USH</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UE</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US</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UD</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UGJ</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UVL</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UPT</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UT</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UPT</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UBT</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US</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UE</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UD</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AA</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UVL</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UK</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UT</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UPT</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UBT</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USH</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US</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UVL</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UD</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AA</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UT</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UPT</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UBT</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AA</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USH</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UD</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UGJ</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UE</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UVL</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US</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S</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Histori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14</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Gjeografi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9</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Histori-Gjeografi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15</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Gjuhe - Letersi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36</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Edukim Qytetar</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Gjuhe angleze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43</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Gjuhe angleze(Fil. Kukes)</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Gjuhe italiane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Gjuhe frenge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Gjuhe gjermane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11</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Gjuhe greke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 Matem. dhe Informa.</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13</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Cikli i Ulet</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14</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Cikli i Ulet Parashkollor</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Edukim Fizik dhe Sporte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19</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16</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xml:space="preserve">Matematikë </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22</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17</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Matematike - Fizikë</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24</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18</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Teknologji Informacioni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19</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 Matem.dhe Informat.</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20</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Matematike-Informatikë</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14</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21</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Fizikë</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22</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Biologji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12</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lastRenderedPageBreak/>
              <w:t>23</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Bioteknologji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24</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Biologji-Kimi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27</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25</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xml:space="preserve">Kimi </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26</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Kimi Ushqimore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27</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Kimi Industriale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28</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Teknologji informacioni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29</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Informatikë</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22</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Gazetari(Komunikim)</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31</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Punë Sociale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32</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Sociologji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33</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Filozofi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34</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Filozofi (Sociologji)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8</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35</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Psikologji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16</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36</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Pedagogji e specializuar</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37</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Shkencat Politike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38</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Drejtësi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28</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39</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Art Skenik</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17</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40</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Arte Figurative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41</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Muzikë</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42</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Mjekësi e Përgjithshme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43</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Stomatologji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20</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44</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Farmaci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25</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45</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Shendet Publik</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46</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Infermieri e Pergjithshme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12</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44</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47</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Mami(Infermieri)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48</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Teknik i Larte Laboratori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49</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Fizioterapi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17</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50</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Ekonomiks</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51</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Adm-Biznes(Turizem)Sarandë</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52</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Adminstrim-Biznesi(Kukës)</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22</w:t>
            </w:r>
          </w:p>
        </w:tc>
      </w:tr>
      <w:tr w:rsidR="00165C77" w:rsidRPr="004F743A" w:rsidTr="00165C77">
        <w:trPr>
          <w:trHeight w:val="139"/>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53</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Gjuhe angleze(Kukes)</w:t>
            </w:r>
          </w:p>
        </w:tc>
        <w:tc>
          <w:tcPr>
            <w:tcW w:w="141"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54</w:t>
            </w:r>
          </w:p>
        </w:tc>
        <w:tc>
          <w:tcPr>
            <w:tcW w:w="382"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Administrim-Publik</w:t>
            </w:r>
          </w:p>
        </w:tc>
        <w:tc>
          <w:tcPr>
            <w:tcW w:w="141"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55</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Administrim.-Biznes</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15</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40</w:t>
            </w:r>
          </w:p>
        </w:tc>
      </w:tr>
      <w:tr w:rsidR="00165C77" w:rsidRPr="004F743A" w:rsidTr="00165C77">
        <w:trPr>
          <w:trHeight w:val="139"/>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56</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Finane-Kontabilitet</w:t>
            </w:r>
          </w:p>
        </w:tc>
        <w:tc>
          <w:tcPr>
            <w:tcW w:w="141"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42</w:t>
            </w:r>
          </w:p>
        </w:tc>
      </w:tr>
      <w:tr w:rsidR="00165C77" w:rsidRPr="004F743A" w:rsidTr="00165C77">
        <w:trPr>
          <w:trHeight w:val="139"/>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57</w:t>
            </w:r>
          </w:p>
        </w:tc>
        <w:tc>
          <w:tcPr>
            <w:tcW w:w="382"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Informatike Ekonomike</w:t>
            </w:r>
          </w:p>
        </w:tc>
        <w:tc>
          <w:tcPr>
            <w:tcW w:w="141"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single" w:sz="4" w:space="0" w:color="auto"/>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58</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Turizëm</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30</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56</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59</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Turizem, Fil. Pogradec</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5</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60</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Marketing</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61</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Ekonomia dhe E drejta</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62</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Elektrike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63</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Informatike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64</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 Telekomunikacioni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65</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Mekanike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12</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66</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Materiale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67</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Gjeodezie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68</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 Tekstile dhe Mode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69</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Elektronike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70</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Ndertimi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71</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Arkitekturë</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4</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72</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Hidroteknike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73</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Mjedisi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74</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Matematike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75</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Fizike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76</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Mekatronike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lastRenderedPageBreak/>
              <w:t>77</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 Ne Shken. Tokes</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78</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Pedagogji e specializuar</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79</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Navigacioni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80</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Menaxhim Agrobiznesi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16</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81</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Ekonomi dhe P. Agrare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82</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Financë-Kontabilitet</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83</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Mbrojtje Bimësh</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84</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Hortikulturë</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85</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Agromekanizim</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86</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Agroushqim</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87</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Prodhim Bimor</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88</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Zootek. dhe Bizn. Blektoral</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89</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Akuakultu. Dhe M. Peshkimi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90</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 Agromjedis dhe Ekologji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91</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Teknologji Agroushqimore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92</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Vreshtari-Enologji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93</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Pyjesh</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94</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Inxhinieri Përpunim Druri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95</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Mjekesi veterinare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96</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Teknologji e prodh. Bimor</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97</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Shkenca të Administrimit</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98</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Menaxhim Turizmi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99</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Ekspert në P. e Formimit</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100</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Asistent Ligjor</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101</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Asistent Administrativ</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102</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Infermieri e Pergjithshme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103</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Ndihmës Dentist</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104</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Spec. Rrjetash Kompjuterike</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105</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Menaxhim  Ndertimi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106</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Menaxhim Transporti</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107</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Teknologji Automobilash</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r>
      <w:tr w:rsidR="00165C77" w:rsidRPr="004F743A"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sz w:val="24"/>
                <w:szCs w:val="24"/>
              </w:rPr>
            </w:pPr>
            <w:r w:rsidRPr="004F743A">
              <w:rPr>
                <w:rFonts w:ascii="Garamond" w:eastAsia="Times New Roman" w:hAnsi="Garamond" w:cs="Arial"/>
                <w:sz w:val="24"/>
                <w:szCs w:val="24"/>
              </w:rPr>
              <w:t> </w:t>
            </w:r>
          </w:p>
        </w:tc>
        <w:tc>
          <w:tcPr>
            <w:tcW w:w="38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 xml:space="preserve">      GJITHSEJ</w:t>
            </w:r>
          </w:p>
        </w:tc>
        <w:tc>
          <w:tcPr>
            <w:tcW w:w="141"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92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11</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36</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25</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17</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12</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70</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21</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63</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18</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30</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54</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15</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107</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109</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28</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28</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183</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28</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12</w:t>
            </w:r>
          </w:p>
        </w:tc>
        <w:tc>
          <w:tcPr>
            <w:tcW w:w="112"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111</w:t>
            </w:r>
          </w:p>
        </w:tc>
        <w:tc>
          <w:tcPr>
            <w:tcW w:w="124"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24</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22</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6</w:t>
            </w:r>
          </w:p>
        </w:tc>
        <w:tc>
          <w:tcPr>
            <w:tcW w:w="125"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23</w:t>
            </w:r>
          </w:p>
        </w:tc>
        <w:tc>
          <w:tcPr>
            <w:tcW w:w="11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w:t>
            </w:r>
          </w:p>
        </w:tc>
        <w:tc>
          <w:tcPr>
            <w:tcW w:w="123"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70</w:t>
            </w:r>
          </w:p>
        </w:tc>
        <w:tc>
          <w:tcPr>
            <w:tcW w:w="109"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22</w:t>
            </w:r>
          </w:p>
        </w:tc>
        <w:tc>
          <w:tcPr>
            <w:tcW w:w="126"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c>
          <w:tcPr>
            <w:tcW w:w="107"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0</w:t>
            </w:r>
          </w:p>
        </w:tc>
        <w:tc>
          <w:tcPr>
            <w:tcW w:w="160" w:type="pct"/>
            <w:tcBorders>
              <w:top w:val="nil"/>
              <w:left w:val="nil"/>
              <w:bottom w:val="single" w:sz="4" w:space="0" w:color="auto"/>
              <w:right w:val="single" w:sz="4" w:space="0" w:color="auto"/>
            </w:tcBorders>
            <w:shd w:val="clear" w:color="auto" w:fill="auto"/>
            <w:noWrap/>
            <w:vAlign w:val="bottom"/>
          </w:tcPr>
          <w:p w:rsidR="00165C77" w:rsidRPr="004F743A" w:rsidRDefault="00165C77" w:rsidP="00165C77">
            <w:pPr>
              <w:pStyle w:val="Tabele"/>
              <w:rPr>
                <w:rFonts w:ascii="Garamond" w:eastAsia="Times New Roman" w:hAnsi="Garamond" w:cs="Arial"/>
                <w:b/>
                <w:bCs/>
                <w:sz w:val="24"/>
                <w:szCs w:val="24"/>
              </w:rPr>
            </w:pPr>
            <w:r w:rsidRPr="004F743A">
              <w:rPr>
                <w:rFonts w:ascii="Garamond" w:eastAsia="Times New Roman" w:hAnsi="Garamond" w:cs="Arial"/>
                <w:b/>
                <w:bCs/>
                <w:sz w:val="24"/>
                <w:szCs w:val="24"/>
              </w:rPr>
              <w:t>1264</w:t>
            </w:r>
          </w:p>
        </w:tc>
      </w:tr>
    </w:tbl>
    <w:p w:rsidR="00165C77" w:rsidRPr="004F743A" w:rsidRDefault="00165C77" w:rsidP="00165C77">
      <w:pPr>
        <w:pStyle w:val="Tabele"/>
        <w:rPr>
          <w:rFonts w:ascii="Garamond" w:hAnsi="Garamond"/>
          <w:sz w:val="24"/>
          <w:szCs w:val="24"/>
        </w:rPr>
        <w:sectPr w:rsidR="00165C77" w:rsidRPr="004F743A" w:rsidSect="00165C77">
          <w:pgSz w:w="15840" w:h="12240" w:orient="landscape"/>
          <w:pgMar w:top="1418" w:right="1418" w:bottom="1418" w:left="1418" w:header="1304" w:footer="1134" w:gutter="0"/>
          <w:cols w:space="720"/>
          <w:docGrid w:linePitch="360"/>
        </w:sectPr>
      </w:pPr>
      <w:r w:rsidRPr="004F743A">
        <w:rPr>
          <w:rFonts w:ascii="Garamond" w:hAnsi="Garamond"/>
          <w:sz w:val="24"/>
          <w:szCs w:val="24"/>
        </w:rPr>
        <w:t>1.Preshevë,Medvegjë,Bujanovc</w:t>
      </w:r>
    </w:p>
    <w:p w:rsidR="00165C77" w:rsidRPr="004F743A" w:rsidRDefault="002F6442" w:rsidP="002F6442">
      <w:pPr>
        <w:pStyle w:val="TitulliTitull"/>
        <w:keepNext w:val="0"/>
        <w:rPr>
          <w:rFonts w:ascii="Garamond" w:hAnsi="Garamond"/>
          <w:i/>
          <w:caps w:val="0"/>
          <w:sz w:val="24"/>
          <w:szCs w:val="24"/>
        </w:rPr>
      </w:pPr>
      <w:r w:rsidRPr="004F743A">
        <w:rPr>
          <w:rFonts w:ascii="Garamond" w:hAnsi="Garamond"/>
          <w:i/>
          <w:caps w:val="0"/>
          <w:sz w:val="24"/>
          <w:szCs w:val="24"/>
        </w:rPr>
        <w:lastRenderedPageBreak/>
        <w:t>(Zëvendësuar tabela nr. 3 me vkm nr. 847, datë 13.10.2010)</w:t>
      </w:r>
    </w:p>
    <w:p w:rsidR="002F6442" w:rsidRPr="004F743A" w:rsidRDefault="002F6442" w:rsidP="002F6442">
      <w:pPr>
        <w:pStyle w:val="TitulliTitull"/>
        <w:keepNext w:val="0"/>
        <w:ind w:left="5040" w:firstLine="720"/>
        <w:rPr>
          <w:rFonts w:ascii="Garamond" w:hAnsi="Garamond"/>
          <w:i/>
          <w:caps w:val="0"/>
          <w:sz w:val="24"/>
          <w:szCs w:val="24"/>
        </w:rPr>
      </w:pPr>
    </w:p>
    <w:p w:rsidR="002F6442" w:rsidRPr="004F743A" w:rsidRDefault="002F6442" w:rsidP="002F6442">
      <w:pPr>
        <w:pStyle w:val="Paragrafi0"/>
        <w:ind w:firstLine="0"/>
        <w:jc w:val="center"/>
        <w:rPr>
          <w:rFonts w:ascii="Garamond" w:hAnsi="Garamond"/>
          <w:sz w:val="24"/>
          <w:szCs w:val="24"/>
          <w:lang w:val="sq-AL"/>
        </w:rPr>
      </w:pPr>
      <w:r w:rsidRPr="004F743A">
        <w:rPr>
          <w:rFonts w:ascii="Garamond" w:hAnsi="Garamond"/>
          <w:noProof/>
          <w:sz w:val="24"/>
          <w:szCs w:val="24"/>
        </w:rPr>
        <w:drawing>
          <wp:inline distT="0" distB="0" distL="0" distR="0" wp14:anchorId="3C6A0958" wp14:editId="4AF5546D">
            <wp:extent cx="5819775" cy="7877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9775" cy="7877175"/>
                    </a:xfrm>
                    <a:prstGeom prst="rect">
                      <a:avLst/>
                    </a:prstGeom>
                    <a:noFill/>
                    <a:ln>
                      <a:noFill/>
                    </a:ln>
                  </pic:spPr>
                </pic:pic>
              </a:graphicData>
            </a:graphic>
          </wp:inline>
        </w:drawing>
      </w:r>
    </w:p>
    <w:p w:rsidR="002F6442" w:rsidRPr="004F743A" w:rsidRDefault="002F6442" w:rsidP="002F6442">
      <w:pPr>
        <w:pStyle w:val="Paragrafi0"/>
        <w:ind w:firstLine="0"/>
        <w:rPr>
          <w:rFonts w:ascii="Garamond" w:hAnsi="Garamond"/>
          <w:sz w:val="24"/>
          <w:szCs w:val="24"/>
          <w:lang w:val="sq-AL"/>
        </w:rPr>
      </w:pPr>
      <w:r w:rsidRPr="004F743A">
        <w:rPr>
          <w:rFonts w:ascii="Garamond" w:hAnsi="Garamond"/>
          <w:noProof/>
          <w:sz w:val="24"/>
          <w:szCs w:val="24"/>
        </w:rPr>
        <w:lastRenderedPageBreak/>
        <w:drawing>
          <wp:inline distT="0" distB="0" distL="0" distR="0" wp14:anchorId="40B4C32C" wp14:editId="71B04633">
            <wp:extent cx="5819775" cy="8001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9775" cy="8001000"/>
                    </a:xfrm>
                    <a:prstGeom prst="rect">
                      <a:avLst/>
                    </a:prstGeom>
                    <a:noFill/>
                    <a:ln>
                      <a:noFill/>
                    </a:ln>
                  </pic:spPr>
                </pic:pic>
              </a:graphicData>
            </a:graphic>
          </wp:inline>
        </w:drawing>
      </w: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ind w:firstLine="0"/>
        <w:jc w:val="center"/>
        <w:rPr>
          <w:rFonts w:ascii="Garamond" w:hAnsi="Garamond"/>
          <w:sz w:val="24"/>
          <w:szCs w:val="24"/>
          <w:lang w:val="sq-AL"/>
        </w:rPr>
      </w:pPr>
      <w:r w:rsidRPr="004F743A">
        <w:rPr>
          <w:rFonts w:ascii="Garamond" w:hAnsi="Garamond"/>
          <w:noProof/>
          <w:sz w:val="24"/>
          <w:szCs w:val="24"/>
        </w:rPr>
        <w:drawing>
          <wp:inline distT="0" distB="0" distL="0" distR="0" wp14:anchorId="1281FCDB" wp14:editId="1FCE0772">
            <wp:extent cx="5476875" cy="8001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6875" cy="8001000"/>
                    </a:xfrm>
                    <a:prstGeom prst="rect">
                      <a:avLst/>
                    </a:prstGeom>
                    <a:noFill/>
                    <a:ln>
                      <a:noFill/>
                    </a:ln>
                  </pic:spPr>
                </pic:pic>
              </a:graphicData>
            </a:graphic>
          </wp:inline>
        </w:drawing>
      </w:r>
    </w:p>
    <w:p w:rsidR="002F6442" w:rsidRPr="004F743A" w:rsidRDefault="002F6442" w:rsidP="002F6442">
      <w:pPr>
        <w:pStyle w:val="Paragrafi0"/>
        <w:ind w:firstLine="0"/>
        <w:rPr>
          <w:rFonts w:ascii="Garamond" w:hAnsi="Garamond"/>
          <w:sz w:val="24"/>
          <w:szCs w:val="24"/>
          <w:lang w:val="sq-AL"/>
        </w:rPr>
      </w:pPr>
      <w:r w:rsidRPr="004F743A">
        <w:rPr>
          <w:rFonts w:ascii="Garamond" w:hAnsi="Garamond"/>
          <w:noProof/>
          <w:sz w:val="24"/>
          <w:szCs w:val="24"/>
        </w:rPr>
        <w:lastRenderedPageBreak/>
        <w:drawing>
          <wp:inline distT="0" distB="0" distL="0" distR="0" wp14:anchorId="3E00687F" wp14:editId="30B59FF0">
            <wp:extent cx="5705475" cy="72009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5475" cy="7200900"/>
                    </a:xfrm>
                    <a:prstGeom prst="rect">
                      <a:avLst/>
                    </a:prstGeom>
                    <a:noFill/>
                    <a:ln>
                      <a:noFill/>
                    </a:ln>
                  </pic:spPr>
                </pic:pic>
              </a:graphicData>
            </a:graphic>
          </wp:inline>
        </w:drawing>
      </w: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ind w:firstLine="0"/>
        <w:jc w:val="center"/>
        <w:rPr>
          <w:rFonts w:ascii="Garamond" w:hAnsi="Garamond"/>
          <w:sz w:val="24"/>
          <w:szCs w:val="24"/>
          <w:lang w:val="sq-AL"/>
        </w:rPr>
      </w:pPr>
      <w:r w:rsidRPr="004F743A">
        <w:rPr>
          <w:rFonts w:ascii="Garamond" w:hAnsi="Garamond"/>
          <w:noProof/>
          <w:sz w:val="24"/>
          <w:szCs w:val="24"/>
        </w:rPr>
        <w:lastRenderedPageBreak/>
        <w:drawing>
          <wp:inline distT="0" distB="0" distL="0" distR="0" wp14:anchorId="42C57ED2" wp14:editId="2D9F26D1">
            <wp:extent cx="5591175" cy="77724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91175" cy="7772400"/>
                    </a:xfrm>
                    <a:prstGeom prst="rect">
                      <a:avLst/>
                    </a:prstGeom>
                    <a:noFill/>
                    <a:ln>
                      <a:noFill/>
                    </a:ln>
                  </pic:spPr>
                </pic:pic>
              </a:graphicData>
            </a:graphic>
          </wp:inline>
        </w:drawing>
      </w: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ind w:firstLine="0"/>
        <w:jc w:val="center"/>
        <w:rPr>
          <w:rFonts w:ascii="Garamond" w:hAnsi="Garamond"/>
          <w:sz w:val="24"/>
          <w:szCs w:val="24"/>
          <w:lang w:val="sq-AL"/>
        </w:rPr>
      </w:pPr>
      <w:r w:rsidRPr="004F743A">
        <w:rPr>
          <w:rFonts w:ascii="Garamond" w:hAnsi="Garamond"/>
          <w:noProof/>
          <w:sz w:val="24"/>
          <w:szCs w:val="24"/>
        </w:rPr>
        <w:drawing>
          <wp:inline distT="0" distB="0" distL="0" distR="0" wp14:anchorId="4DA0E250" wp14:editId="3016EE5B">
            <wp:extent cx="5715000" cy="75533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7553325"/>
                    </a:xfrm>
                    <a:prstGeom prst="rect">
                      <a:avLst/>
                    </a:prstGeom>
                    <a:noFill/>
                    <a:ln>
                      <a:noFill/>
                    </a:ln>
                  </pic:spPr>
                </pic:pic>
              </a:graphicData>
            </a:graphic>
          </wp:inline>
        </w:drawing>
      </w: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ind w:firstLine="0"/>
        <w:rPr>
          <w:rFonts w:ascii="Garamond" w:hAnsi="Garamond"/>
          <w:sz w:val="24"/>
          <w:szCs w:val="24"/>
          <w:lang w:val="sq-AL"/>
        </w:rPr>
      </w:pPr>
      <w:r w:rsidRPr="004F743A">
        <w:rPr>
          <w:rFonts w:ascii="Garamond" w:hAnsi="Garamond"/>
          <w:noProof/>
          <w:sz w:val="24"/>
          <w:szCs w:val="24"/>
        </w:rPr>
        <w:drawing>
          <wp:inline distT="0" distB="0" distL="0" distR="0" wp14:anchorId="7AC2E3FC" wp14:editId="21B12CF7">
            <wp:extent cx="5829300" cy="7543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29300" cy="7543800"/>
                    </a:xfrm>
                    <a:prstGeom prst="rect">
                      <a:avLst/>
                    </a:prstGeom>
                    <a:noFill/>
                    <a:ln>
                      <a:noFill/>
                    </a:ln>
                  </pic:spPr>
                </pic:pic>
              </a:graphicData>
            </a:graphic>
          </wp:inline>
        </w:drawing>
      </w: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ind w:firstLine="0"/>
        <w:rPr>
          <w:rFonts w:ascii="Garamond" w:hAnsi="Garamond"/>
          <w:sz w:val="24"/>
          <w:szCs w:val="24"/>
          <w:lang w:val="sq-AL"/>
        </w:rPr>
      </w:pPr>
      <w:r w:rsidRPr="004F743A">
        <w:rPr>
          <w:rFonts w:ascii="Garamond" w:hAnsi="Garamond"/>
          <w:noProof/>
          <w:sz w:val="24"/>
          <w:szCs w:val="24"/>
        </w:rPr>
        <w:drawing>
          <wp:inline distT="0" distB="0" distL="0" distR="0" wp14:anchorId="2516C14B" wp14:editId="7502319C">
            <wp:extent cx="5600700" cy="7772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0700" cy="7772400"/>
                    </a:xfrm>
                    <a:prstGeom prst="rect">
                      <a:avLst/>
                    </a:prstGeom>
                    <a:noFill/>
                    <a:ln>
                      <a:noFill/>
                    </a:ln>
                  </pic:spPr>
                </pic:pic>
              </a:graphicData>
            </a:graphic>
          </wp:inline>
        </w:drawing>
      </w: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ind w:firstLine="0"/>
        <w:jc w:val="center"/>
        <w:rPr>
          <w:rFonts w:ascii="Garamond" w:hAnsi="Garamond"/>
          <w:sz w:val="24"/>
          <w:szCs w:val="24"/>
          <w:lang w:val="sq-AL"/>
        </w:rPr>
      </w:pPr>
      <w:r w:rsidRPr="004F743A">
        <w:rPr>
          <w:rFonts w:ascii="Garamond" w:hAnsi="Garamond"/>
          <w:noProof/>
          <w:sz w:val="24"/>
          <w:szCs w:val="24"/>
        </w:rPr>
        <w:lastRenderedPageBreak/>
        <w:drawing>
          <wp:inline distT="0" distB="0" distL="0" distR="0" wp14:anchorId="703625EE" wp14:editId="685A09D4">
            <wp:extent cx="5476875" cy="7315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7315200"/>
                    </a:xfrm>
                    <a:prstGeom prst="rect">
                      <a:avLst/>
                    </a:prstGeom>
                    <a:noFill/>
                    <a:ln>
                      <a:noFill/>
                    </a:ln>
                  </pic:spPr>
                </pic:pic>
              </a:graphicData>
            </a:graphic>
          </wp:inline>
        </w:drawing>
      </w: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ind w:firstLine="0"/>
        <w:rPr>
          <w:rFonts w:ascii="Garamond" w:hAnsi="Garamond"/>
          <w:sz w:val="24"/>
          <w:szCs w:val="24"/>
          <w:lang w:val="sq-AL"/>
        </w:rPr>
      </w:pPr>
      <w:r w:rsidRPr="004F743A">
        <w:rPr>
          <w:rFonts w:ascii="Garamond" w:hAnsi="Garamond"/>
          <w:noProof/>
          <w:sz w:val="24"/>
          <w:szCs w:val="24"/>
        </w:rPr>
        <w:lastRenderedPageBreak/>
        <w:drawing>
          <wp:inline distT="0" distB="0" distL="0" distR="0" wp14:anchorId="6137F948" wp14:editId="3B63353E">
            <wp:extent cx="5600700" cy="7658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0700" cy="7658100"/>
                    </a:xfrm>
                    <a:prstGeom prst="rect">
                      <a:avLst/>
                    </a:prstGeom>
                    <a:noFill/>
                    <a:ln>
                      <a:noFill/>
                    </a:ln>
                  </pic:spPr>
                </pic:pic>
              </a:graphicData>
            </a:graphic>
          </wp:inline>
        </w:drawing>
      </w: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ind w:firstLine="0"/>
        <w:jc w:val="center"/>
        <w:rPr>
          <w:rFonts w:ascii="Garamond" w:hAnsi="Garamond"/>
          <w:sz w:val="24"/>
          <w:szCs w:val="24"/>
          <w:lang w:val="sq-AL"/>
        </w:rPr>
      </w:pPr>
      <w:r w:rsidRPr="004F743A">
        <w:rPr>
          <w:rFonts w:ascii="Garamond" w:hAnsi="Garamond"/>
          <w:noProof/>
          <w:sz w:val="24"/>
          <w:szCs w:val="24"/>
        </w:rPr>
        <w:lastRenderedPageBreak/>
        <w:drawing>
          <wp:inline distT="0" distB="0" distL="0" distR="0" wp14:anchorId="67FE6F8D" wp14:editId="270A60DF">
            <wp:extent cx="5372100" cy="69723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72100" cy="6972300"/>
                    </a:xfrm>
                    <a:prstGeom prst="rect">
                      <a:avLst/>
                    </a:prstGeom>
                    <a:noFill/>
                    <a:ln>
                      <a:noFill/>
                    </a:ln>
                  </pic:spPr>
                </pic:pic>
              </a:graphicData>
            </a:graphic>
          </wp:inline>
        </w:drawing>
      </w: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ind w:firstLine="0"/>
        <w:rPr>
          <w:rFonts w:ascii="Garamond" w:hAnsi="Garamond"/>
          <w:sz w:val="24"/>
          <w:szCs w:val="24"/>
          <w:lang w:val="sq-AL"/>
        </w:rPr>
      </w:pPr>
      <w:r w:rsidRPr="004F743A">
        <w:rPr>
          <w:rFonts w:ascii="Garamond" w:hAnsi="Garamond"/>
          <w:noProof/>
          <w:sz w:val="24"/>
          <w:szCs w:val="24"/>
        </w:rPr>
        <w:lastRenderedPageBreak/>
        <w:drawing>
          <wp:inline distT="0" distB="0" distL="0" distR="0" wp14:anchorId="54330D06" wp14:editId="458779FE">
            <wp:extent cx="5486400" cy="5486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5486400"/>
                    </a:xfrm>
                    <a:prstGeom prst="rect">
                      <a:avLst/>
                    </a:prstGeom>
                    <a:noFill/>
                    <a:ln>
                      <a:noFill/>
                    </a:ln>
                  </pic:spPr>
                </pic:pic>
              </a:graphicData>
            </a:graphic>
          </wp:inline>
        </w:drawing>
      </w: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ind w:left="5040" w:firstLine="720"/>
        <w:rPr>
          <w:rFonts w:ascii="Garamond" w:hAnsi="Garamond"/>
          <w:i/>
          <w:sz w:val="24"/>
          <w:szCs w:val="24"/>
        </w:rPr>
      </w:pPr>
    </w:p>
    <w:p w:rsidR="002F6442" w:rsidRPr="004F743A" w:rsidRDefault="002F6442" w:rsidP="002F6442">
      <w:pPr>
        <w:pStyle w:val="TitulliTitull"/>
        <w:keepNext w:val="0"/>
        <w:rPr>
          <w:rFonts w:ascii="Garamond" w:hAnsi="Garamond"/>
          <w:i/>
          <w:sz w:val="24"/>
          <w:szCs w:val="24"/>
        </w:rPr>
      </w:pPr>
      <w:r w:rsidRPr="004F743A">
        <w:rPr>
          <w:rFonts w:ascii="Garamond" w:hAnsi="Garamond"/>
          <w:i/>
          <w:caps w:val="0"/>
          <w:sz w:val="24"/>
          <w:szCs w:val="24"/>
        </w:rPr>
        <w:lastRenderedPageBreak/>
        <w:t>(Shtuar me vkm nr. 847, datë 13.10.2010)</w:t>
      </w:r>
    </w:p>
    <w:p w:rsidR="002F6442" w:rsidRPr="004F743A" w:rsidRDefault="002F6442" w:rsidP="002F6442">
      <w:pPr>
        <w:pStyle w:val="Paragrafi0"/>
        <w:ind w:firstLine="0"/>
        <w:jc w:val="center"/>
        <w:rPr>
          <w:rFonts w:ascii="Garamond" w:hAnsi="Garamond"/>
          <w:sz w:val="24"/>
          <w:szCs w:val="24"/>
          <w:lang w:val="sq-AL"/>
        </w:rPr>
      </w:pPr>
      <w:r w:rsidRPr="004F743A">
        <w:rPr>
          <w:rFonts w:ascii="Garamond" w:hAnsi="Garamond"/>
          <w:noProof/>
          <w:sz w:val="24"/>
          <w:szCs w:val="24"/>
        </w:rPr>
        <w:drawing>
          <wp:inline distT="0" distB="0" distL="0" distR="0" wp14:anchorId="558AB928" wp14:editId="45EE0581">
            <wp:extent cx="6172200" cy="685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72200" cy="6858000"/>
                    </a:xfrm>
                    <a:prstGeom prst="rect">
                      <a:avLst/>
                    </a:prstGeom>
                    <a:noFill/>
                    <a:ln>
                      <a:noFill/>
                    </a:ln>
                  </pic:spPr>
                </pic:pic>
              </a:graphicData>
            </a:graphic>
          </wp:inline>
        </w:drawing>
      </w: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ind w:firstLine="0"/>
        <w:rPr>
          <w:rFonts w:ascii="Garamond" w:hAnsi="Garamond"/>
          <w:sz w:val="24"/>
          <w:szCs w:val="24"/>
          <w:lang w:val="sq-AL"/>
        </w:rPr>
      </w:pPr>
      <w:r w:rsidRPr="004F743A">
        <w:rPr>
          <w:rFonts w:ascii="Garamond" w:hAnsi="Garamond"/>
          <w:noProof/>
          <w:sz w:val="24"/>
          <w:szCs w:val="24"/>
        </w:rPr>
        <w:lastRenderedPageBreak/>
        <w:drawing>
          <wp:inline distT="0" distB="0" distL="0" distR="0" wp14:anchorId="5755F4C3" wp14:editId="179BC0F2">
            <wp:extent cx="5943600" cy="7429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7429500"/>
                    </a:xfrm>
                    <a:prstGeom prst="rect">
                      <a:avLst/>
                    </a:prstGeom>
                    <a:noFill/>
                    <a:ln>
                      <a:noFill/>
                    </a:ln>
                  </pic:spPr>
                </pic:pic>
              </a:graphicData>
            </a:graphic>
          </wp:inline>
        </w:drawing>
      </w: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ind w:firstLine="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Paragrafi0"/>
        <w:rPr>
          <w:rFonts w:ascii="Garamond" w:hAnsi="Garamond"/>
          <w:sz w:val="24"/>
          <w:szCs w:val="24"/>
          <w:lang w:val="sq-AL"/>
        </w:rPr>
      </w:pPr>
    </w:p>
    <w:p w:rsidR="002F6442" w:rsidRPr="004F743A" w:rsidRDefault="002F6442" w:rsidP="002F6442">
      <w:pPr>
        <w:pStyle w:val="TitulliTitull"/>
        <w:keepNext w:val="0"/>
        <w:rPr>
          <w:rFonts w:ascii="Garamond" w:hAnsi="Garamond"/>
          <w:i/>
          <w:sz w:val="24"/>
          <w:szCs w:val="24"/>
        </w:rPr>
      </w:pPr>
      <w:r w:rsidRPr="004F743A">
        <w:rPr>
          <w:rFonts w:ascii="Garamond" w:hAnsi="Garamond"/>
          <w:noProof/>
          <w:sz w:val="24"/>
          <w:szCs w:val="24"/>
        </w:rPr>
        <w:drawing>
          <wp:inline distT="0" distB="0" distL="0" distR="0" wp14:anchorId="15C7B64F" wp14:editId="29A9AA46">
            <wp:extent cx="5971540" cy="7098246"/>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1540" cy="7098246"/>
                    </a:xfrm>
                    <a:prstGeom prst="rect">
                      <a:avLst/>
                    </a:prstGeom>
                    <a:noFill/>
                    <a:ln>
                      <a:noFill/>
                    </a:ln>
                  </pic:spPr>
                </pic:pic>
              </a:graphicData>
            </a:graphic>
          </wp:inline>
        </w:drawing>
      </w:r>
      <w:bookmarkEnd w:id="0"/>
    </w:p>
    <w:sectPr w:rsidR="002F6442" w:rsidRPr="004F743A" w:rsidSect="002F6442">
      <w:pgSz w:w="12240" w:h="15840"/>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C2C" w:rsidRDefault="000E7C2C">
      <w:pPr>
        <w:spacing w:after="0" w:line="240" w:lineRule="auto"/>
      </w:pPr>
      <w:r>
        <w:separator/>
      </w:r>
    </w:p>
  </w:endnote>
  <w:endnote w:type="continuationSeparator" w:id="0">
    <w:p w:rsidR="000E7C2C" w:rsidRDefault="000E7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C2C" w:rsidRDefault="000E7C2C">
      <w:pPr>
        <w:spacing w:after="0" w:line="240" w:lineRule="auto"/>
      </w:pPr>
      <w:r>
        <w:separator/>
      </w:r>
    </w:p>
  </w:footnote>
  <w:footnote w:type="continuationSeparator" w:id="0">
    <w:p w:rsidR="000E7C2C" w:rsidRDefault="000E7C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87CD09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40C844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1EE15F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43888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054843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72D4B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FA9E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8"/>
    <w:multiLevelType w:val="singleLevel"/>
    <w:tmpl w:val="1A685BA6"/>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6A98C24A"/>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14105CA9"/>
    <w:multiLevelType w:val="hybridMultilevel"/>
    <w:tmpl w:val="B652D4F2"/>
    <w:lvl w:ilvl="0" w:tplc="475CF02A">
      <w:start w:val="1"/>
      <w:numFmt w:val="decimal"/>
      <w:lvlText w:val="%1.     "/>
      <w:lvlJc w:val="left"/>
      <w:pPr>
        <w:tabs>
          <w:tab w:val="num" w:pos="720"/>
        </w:tabs>
        <w:ind w:left="0" w:firstLine="0"/>
      </w:pPr>
      <w:rPr>
        <w:rFonts w:hint="default"/>
        <w:b w:val="0"/>
      </w:rPr>
    </w:lvl>
    <w:lvl w:ilvl="1" w:tplc="FB3CDE10" w:tentative="1">
      <w:start w:val="1"/>
      <w:numFmt w:val="lowerLetter"/>
      <w:lvlText w:val="%2."/>
      <w:lvlJc w:val="left"/>
      <w:pPr>
        <w:tabs>
          <w:tab w:val="num" w:pos="1440"/>
        </w:tabs>
        <w:ind w:left="1440" w:hanging="360"/>
      </w:pPr>
    </w:lvl>
    <w:lvl w:ilvl="2" w:tplc="8B42CAB6" w:tentative="1">
      <w:start w:val="1"/>
      <w:numFmt w:val="lowerRoman"/>
      <w:lvlText w:val="%3."/>
      <w:lvlJc w:val="right"/>
      <w:pPr>
        <w:tabs>
          <w:tab w:val="num" w:pos="2160"/>
        </w:tabs>
        <w:ind w:left="2160" w:hanging="180"/>
      </w:pPr>
    </w:lvl>
    <w:lvl w:ilvl="3" w:tplc="45FA0CFA" w:tentative="1">
      <w:start w:val="1"/>
      <w:numFmt w:val="decimal"/>
      <w:lvlText w:val="%4."/>
      <w:lvlJc w:val="left"/>
      <w:pPr>
        <w:tabs>
          <w:tab w:val="num" w:pos="2880"/>
        </w:tabs>
        <w:ind w:left="2880" w:hanging="360"/>
      </w:pPr>
    </w:lvl>
    <w:lvl w:ilvl="4" w:tplc="307A44D6" w:tentative="1">
      <w:start w:val="1"/>
      <w:numFmt w:val="lowerLetter"/>
      <w:lvlText w:val="%5."/>
      <w:lvlJc w:val="left"/>
      <w:pPr>
        <w:tabs>
          <w:tab w:val="num" w:pos="3600"/>
        </w:tabs>
        <w:ind w:left="3600" w:hanging="360"/>
      </w:pPr>
    </w:lvl>
    <w:lvl w:ilvl="5" w:tplc="15220738" w:tentative="1">
      <w:start w:val="1"/>
      <w:numFmt w:val="lowerRoman"/>
      <w:lvlText w:val="%6."/>
      <w:lvlJc w:val="right"/>
      <w:pPr>
        <w:tabs>
          <w:tab w:val="num" w:pos="4320"/>
        </w:tabs>
        <w:ind w:left="4320" w:hanging="180"/>
      </w:pPr>
    </w:lvl>
    <w:lvl w:ilvl="6" w:tplc="3170215A" w:tentative="1">
      <w:start w:val="1"/>
      <w:numFmt w:val="decimal"/>
      <w:lvlText w:val="%7."/>
      <w:lvlJc w:val="left"/>
      <w:pPr>
        <w:tabs>
          <w:tab w:val="num" w:pos="5040"/>
        </w:tabs>
        <w:ind w:left="5040" w:hanging="360"/>
      </w:pPr>
    </w:lvl>
    <w:lvl w:ilvl="7" w:tplc="BC162CE2" w:tentative="1">
      <w:start w:val="1"/>
      <w:numFmt w:val="lowerLetter"/>
      <w:lvlText w:val="%8."/>
      <w:lvlJc w:val="left"/>
      <w:pPr>
        <w:tabs>
          <w:tab w:val="num" w:pos="5760"/>
        </w:tabs>
        <w:ind w:left="5760" w:hanging="360"/>
      </w:pPr>
    </w:lvl>
    <w:lvl w:ilvl="8" w:tplc="65BA0E9C" w:tentative="1">
      <w:start w:val="1"/>
      <w:numFmt w:val="lowerRoman"/>
      <w:lvlText w:val="%9."/>
      <w:lvlJc w:val="right"/>
      <w:pPr>
        <w:tabs>
          <w:tab w:val="num" w:pos="6480"/>
        </w:tabs>
        <w:ind w:left="6480" w:hanging="180"/>
      </w:pPr>
    </w:lvl>
  </w:abstractNum>
  <w:abstractNum w:abstractNumId="11" w15:restartNumberingAfterBreak="0">
    <w:nsid w:val="319439E6"/>
    <w:multiLevelType w:val="multilevel"/>
    <w:tmpl w:val="65669098"/>
    <w:lvl w:ilvl="0">
      <w:start w:val="1"/>
      <w:numFmt w:val="none"/>
      <w:pStyle w:val="ListBullet2"/>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0990023"/>
    <w:multiLevelType w:val="hybridMultilevel"/>
    <w:tmpl w:val="C0EA5AF6"/>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4" w15:restartNumberingAfterBreak="0">
    <w:nsid w:val="7FE30505"/>
    <w:multiLevelType w:val="hybridMultilevel"/>
    <w:tmpl w:val="25E07446"/>
    <w:lvl w:ilvl="0" w:tplc="CA1ACB06">
      <w:start w:val="1"/>
      <w:numFmt w:val="bullet"/>
      <w:lvlText w:val=""/>
      <w:lvlJc w:val="left"/>
      <w:pPr>
        <w:tabs>
          <w:tab w:val="num" w:pos="1440"/>
        </w:tabs>
        <w:ind w:left="1440" w:hanging="720"/>
      </w:pPr>
      <w:rPr>
        <w:rFonts w:ascii="Symbol" w:hAnsi="Symbol" w:hint="default"/>
      </w:rPr>
    </w:lvl>
    <w:lvl w:ilvl="1" w:tplc="041F0019"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1"/>
  </w:num>
  <w:num w:numId="3">
    <w:abstractNumId w:val="13"/>
  </w:num>
  <w:num w:numId="4">
    <w:abstractNumId w:val="10"/>
  </w:num>
  <w:num w:numId="5">
    <w:abstractNumId w:val="9"/>
  </w:num>
  <w:num w:numId="6">
    <w:abstractNumId w:val="9"/>
  </w:num>
  <w:num w:numId="7">
    <w:abstractNumId w:val="12"/>
  </w:num>
  <w:num w:numId="8">
    <w:abstractNumId w:val="11"/>
  </w:num>
  <w:num w:numId="9">
    <w:abstractNumId w:val="13"/>
  </w:num>
  <w:num w:numId="10">
    <w:abstractNumId w:val="11"/>
  </w:num>
  <w:num w:numId="11">
    <w:abstractNumId w:val="13"/>
  </w:num>
  <w:num w:numId="12">
    <w:abstractNumId w:val="11"/>
  </w:num>
  <w:num w:numId="13">
    <w:abstractNumId w:val="13"/>
  </w:num>
  <w:num w:numId="14">
    <w:abstractNumId w:val="11"/>
  </w:num>
  <w:num w:numId="15">
    <w:abstractNumId w:val="13"/>
  </w:num>
  <w:num w:numId="16">
    <w:abstractNumId w:val="13"/>
  </w:num>
  <w:num w:numId="17">
    <w:abstractNumId w:val="9"/>
  </w:num>
  <w:num w:numId="18">
    <w:abstractNumId w:val="9"/>
  </w:num>
  <w:num w:numId="19">
    <w:abstractNumId w:val="11"/>
  </w:num>
  <w:num w:numId="20">
    <w:abstractNumId w:val="13"/>
  </w:num>
  <w:num w:numId="21">
    <w:abstractNumId w:val="11"/>
  </w:num>
  <w:num w:numId="22">
    <w:abstractNumId w:val="13"/>
  </w:num>
  <w:num w:numId="23">
    <w:abstractNumId w:val="11"/>
  </w:num>
  <w:num w:numId="24">
    <w:abstractNumId w:val="13"/>
  </w:num>
  <w:num w:numId="25">
    <w:abstractNumId w:val="11"/>
  </w:num>
  <w:num w:numId="26">
    <w:abstractNumId w:val="13"/>
  </w:num>
  <w:num w:numId="27">
    <w:abstractNumId w:val="13"/>
  </w:num>
  <w:num w:numId="28">
    <w:abstractNumId w:val="9"/>
  </w:num>
  <w:num w:numId="29">
    <w:abstractNumId w:val="9"/>
  </w:num>
  <w:num w:numId="30">
    <w:abstractNumId w:val="11"/>
  </w:num>
  <w:num w:numId="31">
    <w:abstractNumId w:val="13"/>
  </w:num>
  <w:num w:numId="32">
    <w:abstractNumId w:val="11"/>
  </w:num>
  <w:num w:numId="33">
    <w:abstractNumId w:val="13"/>
  </w:num>
  <w:num w:numId="34">
    <w:abstractNumId w:val="11"/>
  </w:num>
  <w:num w:numId="35">
    <w:abstractNumId w:val="13"/>
  </w:num>
  <w:num w:numId="36">
    <w:abstractNumId w:val="11"/>
  </w:num>
  <w:num w:numId="37">
    <w:abstractNumId w:val="13"/>
  </w:num>
  <w:num w:numId="38">
    <w:abstractNumId w:val="8"/>
  </w:num>
  <w:num w:numId="39">
    <w:abstractNumId w:val="6"/>
  </w:num>
  <w:num w:numId="40">
    <w:abstractNumId w:val="5"/>
  </w:num>
  <w:num w:numId="41">
    <w:abstractNumId w:val="4"/>
  </w:num>
  <w:num w:numId="42">
    <w:abstractNumId w:val="7"/>
  </w:num>
  <w:num w:numId="43">
    <w:abstractNumId w:val="3"/>
  </w:num>
  <w:num w:numId="44">
    <w:abstractNumId w:val="2"/>
  </w:num>
  <w:num w:numId="45">
    <w:abstractNumId w:val="1"/>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C77"/>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C2C"/>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139"/>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C77"/>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02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442"/>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43A"/>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08"/>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6E53"/>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1EF4"/>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753"/>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3FFB"/>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5795"/>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2C4"/>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1C3"/>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EDC4A08-2345-46FF-BDF0-8E48CCAF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C77"/>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65C77"/>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
    <w:qFormat/>
    <w:rsid w:val="00165C77"/>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qFormat/>
    <w:rsid w:val="00165C77"/>
    <w:pPr>
      <w:spacing w:before="200" w:after="0"/>
      <w:outlineLvl w:val="3"/>
    </w:pPr>
    <w:rPr>
      <w:rFonts w:ascii="Cambria" w:eastAsia="Times New Roman" w:hAnsi="Cambria"/>
      <w:b/>
      <w:bCs/>
      <w:i/>
      <w:iCs/>
    </w:rPr>
  </w:style>
  <w:style w:type="paragraph" w:styleId="Heading5">
    <w:name w:val="heading 5"/>
    <w:basedOn w:val="Normal"/>
    <w:next w:val="Normal"/>
    <w:link w:val="Heading5Char"/>
    <w:qFormat/>
    <w:rsid w:val="00165C77"/>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qFormat/>
    <w:rsid w:val="00165C77"/>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qFormat/>
    <w:rsid w:val="00165C77"/>
    <w:pPr>
      <w:spacing w:after="0"/>
      <w:outlineLvl w:val="6"/>
    </w:pPr>
    <w:rPr>
      <w:rFonts w:ascii="Cambria" w:eastAsia="Times New Roman" w:hAnsi="Cambria"/>
      <w:i/>
      <w:iCs/>
    </w:rPr>
  </w:style>
  <w:style w:type="paragraph" w:styleId="Heading8">
    <w:name w:val="heading 8"/>
    <w:basedOn w:val="Normal"/>
    <w:next w:val="Normal"/>
    <w:link w:val="Heading8Char"/>
    <w:qFormat/>
    <w:rsid w:val="00165C77"/>
    <w:pPr>
      <w:spacing w:after="0"/>
      <w:outlineLvl w:val="7"/>
    </w:pPr>
    <w:rPr>
      <w:rFonts w:ascii="Cambria" w:eastAsia="Times New Roman" w:hAnsi="Cambria"/>
      <w:sz w:val="20"/>
      <w:szCs w:val="20"/>
    </w:rPr>
  </w:style>
  <w:style w:type="paragraph" w:styleId="Heading9">
    <w:name w:val="heading 9"/>
    <w:basedOn w:val="Normal"/>
    <w:next w:val="Normal"/>
    <w:link w:val="Heading9Char"/>
    <w:qFormat/>
    <w:rsid w:val="00165C77"/>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5C77"/>
    <w:rPr>
      <w:rFonts w:ascii="Arial" w:hAnsi="Arial" w:cs="Arial"/>
      <w:b/>
      <w:bCs/>
      <w:kern w:val="32"/>
      <w:sz w:val="32"/>
      <w:szCs w:val="32"/>
      <w:lang w:val="en-US" w:eastAsia="en-US" w:bidi="ar-SA"/>
    </w:rPr>
  </w:style>
  <w:style w:type="character" w:customStyle="1" w:styleId="Heading2Char">
    <w:name w:val="Heading 2 Char"/>
    <w:basedOn w:val="DefaultParagraphFont"/>
    <w:link w:val="Heading2"/>
    <w:rsid w:val="00165C77"/>
    <w:rPr>
      <w:rFonts w:ascii="Cambria" w:hAnsi="Cambria"/>
      <w:b/>
      <w:bCs/>
      <w:sz w:val="26"/>
      <w:szCs w:val="26"/>
      <w:lang w:val="en-US" w:eastAsia="en-US" w:bidi="en-US"/>
    </w:rPr>
  </w:style>
  <w:style w:type="character" w:customStyle="1" w:styleId="Heading3Char">
    <w:name w:val="Heading 3 Char"/>
    <w:basedOn w:val="DefaultParagraphFont"/>
    <w:link w:val="Heading3"/>
    <w:rsid w:val="00165C77"/>
    <w:rPr>
      <w:rFonts w:ascii="Cambria" w:hAnsi="Cambria"/>
      <w:b/>
      <w:bCs/>
      <w:sz w:val="22"/>
      <w:szCs w:val="22"/>
      <w:lang w:val="en-US" w:eastAsia="en-US" w:bidi="en-US"/>
    </w:rPr>
  </w:style>
  <w:style w:type="character" w:customStyle="1" w:styleId="Heading4Char">
    <w:name w:val="Heading 4 Char"/>
    <w:basedOn w:val="DefaultParagraphFont"/>
    <w:link w:val="Heading4"/>
    <w:semiHidden/>
    <w:rsid w:val="00165C77"/>
    <w:rPr>
      <w:rFonts w:ascii="Cambria" w:hAnsi="Cambria"/>
      <w:b/>
      <w:bCs/>
      <w:i/>
      <w:iCs/>
      <w:sz w:val="22"/>
      <w:szCs w:val="22"/>
      <w:lang w:val="en-US" w:eastAsia="en-US" w:bidi="en-US"/>
    </w:rPr>
  </w:style>
  <w:style w:type="character" w:customStyle="1" w:styleId="Heading5Char">
    <w:name w:val="Heading 5 Char"/>
    <w:basedOn w:val="DefaultParagraphFont"/>
    <w:link w:val="Heading5"/>
    <w:semiHidden/>
    <w:rsid w:val="00165C77"/>
    <w:rPr>
      <w:rFonts w:ascii="Cambria" w:hAnsi="Cambria"/>
      <w:b/>
      <w:bCs/>
      <w:color w:val="7F7F7F"/>
      <w:sz w:val="22"/>
      <w:szCs w:val="22"/>
      <w:lang w:val="en-US" w:eastAsia="en-US" w:bidi="en-US"/>
    </w:rPr>
  </w:style>
  <w:style w:type="character" w:customStyle="1" w:styleId="Heading6Char">
    <w:name w:val="Heading 6 Char"/>
    <w:basedOn w:val="DefaultParagraphFont"/>
    <w:link w:val="Heading6"/>
    <w:semiHidden/>
    <w:rsid w:val="00165C77"/>
    <w:rPr>
      <w:rFonts w:ascii="Cambria" w:hAnsi="Cambria"/>
      <w:b/>
      <w:bCs/>
      <w:i/>
      <w:iCs/>
      <w:color w:val="7F7F7F"/>
      <w:sz w:val="22"/>
      <w:szCs w:val="22"/>
      <w:lang w:val="en-US" w:eastAsia="en-US" w:bidi="en-US"/>
    </w:rPr>
  </w:style>
  <w:style w:type="character" w:customStyle="1" w:styleId="Heading7Char">
    <w:name w:val="Heading 7 Char"/>
    <w:basedOn w:val="DefaultParagraphFont"/>
    <w:link w:val="Heading7"/>
    <w:semiHidden/>
    <w:rsid w:val="00165C77"/>
    <w:rPr>
      <w:rFonts w:ascii="Cambria" w:hAnsi="Cambria"/>
      <w:i/>
      <w:iCs/>
      <w:sz w:val="22"/>
      <w:szCs w:val="22"/>
      <w:lang w:val="en-US" w:eastAsia="en-US" w:bidi="en-US"/>
    </w:rPr>
  </w:style>
  <w:style w:type="character" w:customStyle="1" w:styleId="Heading8Char">
    <w:name w:val="Heading 8 Char"/>
    <w:basedOn w:val="DefaultParagraphFont"/>
    <w:link w:val="Heading8"/>
    <w:semiHidden/>
    <w:rsid w:val="00165C77"/>
    <w:rPr>
      <w:rFonts w:ascii="Cambria" w:hAnsi="Cambria"/>
      <w:lang w:val="en-US" w:eastAsia="en-US" w:bidi="en-US"/>
    </w:rPr>
  </w:style>
  <w:style w:type="character" w:customStyle="1" w:styleId="Heading9Char">
    <w:name w:val="Heading 9 Char"/>
    <w:basedOn w:val="DefaultParagraphFont"/>
    <w:link w:val="Heading9"/>
    <w:semiHidden/>
    <w:rsid w:val="00165C77"/>
    <w:rPr>
      <w:rFonts w:ascii="Cambria" w:hAnsi="Cambria"/>
      <w:i/>
      <w:iCs/>
      <w:spacing w:val="5"/>
      <w:lang w:val="en-US" w:eastAsia="en-US" w:bidi="en-US"/>
    </w:rPr>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character" w:customStyle="1" w:styleId="NumriDataChar">
    <w:name w:val="Numri_Data Char"/>
    <w:basedOn w:val="DefaultParagraphFont"/>
    <w:link w:val="NumriData"/>
    <w:rsid w:val="00165C77"/>
    <w:rPr>
      <w:rFonts w:ascii="CG Times" w:eastAsia="MS Mincho" w:hAnsi="CG Times"/>
      <w:b/>
      <w:sz w:val="22"/>
      <w:lang w:val="en-GB" w:eastAsia="en-US" w:bidi="ar-SA"/>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character" w:customStyle="1" w:styleId="ParagrafiChar">
    <w:name w:val="Paragrafi Char"/>
    <w:basedOn w:val="DefaultParagraphFont"/>
    <w:link w:val="Paragrafi0"/>
    <w:rsid w:val="00165C77"/>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character" w:customStyle="1" w:styleId="VENDOSIChar">
    <w:name w:val="VENDOSI Char"/>
    <w:basedOn w:val="DefaultParagraphFont"/>
    <w:link w:val="VENDOSI0"/>
    <w:rsid w:val="00165C77"/>
    <w:rPr>
      <w:rFonts w:ascii="CG Times" w:eastAsia="MS Mincho" w:hAnsi="CG Times"/>
      <w:caps/>
      <w:sz w:val="22"/>
      <w:szCs w:val="22"/>
      <w:lang w:val="en-GB" w:eastAsia="en-US" w:bidi="ar-SA"/>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165C77"/>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0">
    <w:name w:val="Char Char Char Char"/>
    <w:basedOn w:val="Normal"/>
    <w:rsid w:val="00165C77"/>
    <w:pPr>
      <w:spacing w:after="160" w:line="240" w:lineRule="exact"/>
    </w:pPr>
    <w:rPr>
      <w:rFonts w:ascii="Tahoma" w:hAnsi="Tahoma"/>
      <w:sz w:val="20"/>
      <w:szCs w:val="20"/>
    </w:rPr>
  </w:style>
  <w:style w:type="character" w:customStyle="1" w:styleId="CharChar1">
    <w:name w:val="Char Char1"/>
    <w:basedOn w:val="DefaultParagraphFont"/>
    <w:rsid w:val="00165C77"/>
    <w:rPr>
      <w:rFonts w:ascii="Trebuchet MS" w:eastAsia="MS Mincho" w:hAnsi="Trebuchet MS"/>
      <w:lang w:val="en-GB" w:eastAsia="en-US" w:bidi="ar-SA"/>
    </w:rPr>
  </w:style>
  <w:style w:type="paragraph" w:customStyle="1" w:styleId="BoxText">
    <w:name w:val="Box Text"/>
    <w:basedOn w:val="Normal"/>
    <w:rsid w:val="00165C77"/>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165C77"/>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165C77"/>
    <w:rPr>
      <w:rFonts w:ascii="Trebuchet MS" w:eastAsia="MS Mincho" w:hAnsi="Trebuchet MS"/>
      <w:szCs w:val="22"/>
      <w:lang w:val="en-GB" w:eastAsia="en-US" w:bidi="ar-SA"/>
    </w:rPr>
  </w:style>
  <w:style w:type="paragraph" w:customStyle="1" w:styleId="bulletmeshkronja">
    <w:name w:val="bullet me shkronja"/>
    <w:basedOn w:val="Normal"/>
    <w:rsid w:val="00165C77"/>
    <w:pPr>
      <w:widowControl w:val="0"/>
      <w:spacing w:before="60" w:after="60"/>
      <w:jc w:val="both"/>
    </w:pPr>
    <w:rPr>
      <w:rFonts w:ascii="Trebuchet MS" w:eastAsia="MS Mincho" w:hAnsi="Trebuchet MS"/>
      <w:lang w:val="sq-AL"/>
    </w:rPr>
  </w:style>
  <w:style w:type="paragraph" w:customStyle="1" w:styleId="Char1">
    <w:name w:val="Char1"/>
    <w:basedOn w:val="Normal"/>
    <w:rsid w:val="00165C77"/>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165C77"/>
    <w:rPr>
      <w:rFonts w:ascii="Trebuchet MS" w:eastAsia="MS Mincho" w:hAnsi="Trebuchet MS"/>
      <w:sz w:val="22"/>
      <w:lang w:val="en-GB" w:eastAsia="en-US" w:bidi="ar-SA"/>
    </w:rPr>
  </w:style>
  <w:style w:type="paragraph" w:styleId="Footer">
    <w:name w:val="footer"/>
    <w:basedOn w:val="Normal"/>
    <w:link w:val="FooterChar"/>
    <w:rsid w:val="00165C77"/>
    <w:pPr>
      <w:tabs>
        <w:tab w:val="center" w:pos="4320"/>
        <w:tab w:val="right" w:pos="8640"/>
      </w:tabs>
    </w:pPr>
  </w:style>
  <w:style w:type="character" w:customStyle="1" w:styleId="FooterChar">
    <w:name w:val="Footer Char"/>
    <w:basedOn w:val="DefaultParagraphFont"/>
    <w:link w:val="Footer"/>
    <w:rsid w:val="00165C77"/>
    <w:rPr>
      <w:rFonts w:ascii="Calibri" w:eastAsia="Calibri" w:hAnsi="Calibri"/>
      <w:sz w:val="22"/>
      <w:szCs w:val="22"/>
      <w:lang w:val="en-US" w:eastAsia="en-US" w:bidi="en-US"/>
    </w:rPr>
  </w:style>
  <w:style w:type="character" w:customStyle="1" w:styleId="footnoteChar">
    <w:name w:val="footnote Char"/>
    <w:basedOn w:val="DefaultParagraphFont"/>
    <w:rsid w:val="00165C77"/>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65C77"/>
    <w:rPr>
      <w:rFonts w:ascii="Trebuchet MS" w:eastAsia="MS Mincho" w:hAnsi="Trebuchet MS"/>
      <w:sz w:val="18"/>
      <w:lang w:val="en-GB" w:eastAsia="en-US" w:bidi="ar-SA"/>
    </w:rPr>
  </w:style>
  <w:style w:type="character" w:customStyle="1" w:styleId="Heading1CharChar">
    <w:name w:val="Heading 1 Char Char"/>
    <w:basedOn w:val="DefaultParagraphFont"/>
    <w:rsid w:val="00165C77"/>
    <w:rPr>
      <w:rFonts w:ascii="Trebuchet MS" w:eastAsia="MS Mincho" w:hAnsi="Trebuchet MS" w:cs="Arial"/>
      <w:b/>
      <w:bCs/>
      <w:kern w:val="32"/>
      <w:sz w:val="36"/>
      <w:szCs w:val="36"/>
      <w:lang w:val="en-US" w:eastAsia="en-US" w:bidi="ar-SA"/>
    </w:rPr>
  </w:style>
  <w:style w:type="paragraph" w:customStyle="1" w:styleId="hyrje">
    <w:name w:val="hyrje"/>
    <w:basedOn w:val="Heading1"/>
    <w:rsid w:val="00165C77"/>
    <w:pPr>
      <w:keepNext w:val="0"/>
      <w:pageBreakBefore/>
      <w:spacing w:before="360" w:after="360"/>
      <w:contextualSpacing/>
      <w:jc w:val="both"/>
    </w:pPr>
    <w:rPr>
      <w:rFonts w:ascii="Trebuchet MS" w:eastAsia="MS Mincho" w:hAnsi="Trebuchet MS" w:cs="Times New Roman"/>
      <w:kern w:val="0"/>
      <w:sz w:val="36"/>
      <w:szCs w:val="36"/>
      <w:lang w:val="en-GB"/>
    </w:rPr>
  </w:style>
  <w:style w:type="paragraph" w:customStyle="1" w:styleId="Level11">
    <w:name w:val="Level 1.1"/>
    <w:basedOn w:val="Normal"/>
    <w:rsid w:val="00165C77"/>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1">
    <w:name w:val="List Bullet1"/>
    <w:basedOn w:val="Normal"/>
    <w:rsid w:val="00165C77"/>
    <w:pPr>
      <w:widowControl w:val="0"/>
      <w:spacing w:after="120"/>
    </w:pPr>
    <w:rPr>
      <w:rFonts w:ascii="Trebuchet MS" w:eastAsia="MS Mincho" w:hAnsi="Trebuchet MS"/>
      <w:szCs w:val="20"/>
      <w:lang w:val="sq-AL" w:eastAsia="zh-CN"/>
    </w:rPr>
  </w:style>
  <w:style w:type="paragraph" w:styleId="ListBullet2">
    <w:name w:val="List Bullet 2"/>
    <w:basedOn w:val="Normal"/>
    <w:rsid w:val="00165C77"/>
    <w:pPr>
      <w:numPr>
        <w:numId w:val="2"/>
      </w:numPr>
    </w:pPr>
  </w:style>
  <w:style w:type="character" w:customStyle="1" w:styleId="ListBullet2Char">
    <w:name w:val="List Bullet 2 Char"/>
    <w:aliases w:val="List me numra Char"/>
    <w:basedOn w:val="DefaultParagraphFont"/>
    <w:rsid w:val="00165C77"/>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65C77"/>
    <w:rPr>
      <w:rFonts w:ascii="Trebuchet MS" w:eastAsia="MS Mincho" w:hAnsi="Trebuchet MS"/>
      <w:sz w:val="22"/>
      <w:szCs w:val="22"/>
      <w:lang w:val="en-US" w:eastAsia="en-US" w:bidi="ar-SA"/>
    </w:rPr>
  </w:style>
  <w:style w:type="paragraph" w:customStyle="1" w:styleId="listmenumra">
    <w:name w:val="list me numra"/>
    <w:basedOn w:val="ListBullet2"/>
    <w:rsid w:val="00165C77"/>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165C77"/>
    <w:rPr>
      <w:rFonts w:ascii="Trebuchet MS" w:eastAsia="MS Mincho" w:hAnsi="Trebuchet MS"/>
      <w:sz w:val="22"/>
      <w:szCs w:val="22"/>
      <w:lang w:val="en-US" w:eastAsia="en-US" w:bidi="ar-SA"/>
    </w:rPr>
  </w:style>
  <w:style w:type="paragraph" w:styleId="ListParagraph">
    <w:name w:val="List Paragraph"/>
    <w:basedOn w:val="Normal"/>
    <w:qFormat/>
    <w:rsid w:val="00165C77"/>
    <w:pPr>
      <w:ind w:left="720"/>
      <w:contextualSpacing/>
    </w:pPr>
  </w:style>
  <w:style w:type="paragraph" w:customStyle="1" w:styleId="para">
    <w:name w:val="para"/>
    <w:basedOn w:val="Normal"/>
    <w:rsid w:val="00165C77"/>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165C77"/>
    <w:rPr>
      <w:rFonts w:ascii="Arial" w:eastAsia="MS Mincho" w:hAnsi="Arial"/>
      <w:sz w:val="22"/>
      <w:szCs w:val="24"/>
      <w:lang w:val="en-US" w:eastAsia="en-US" w:bidi="ar-SA"/>
    </w:rPr>
  </w:style>
  <w:style w:type="paragraph" w:customStyle="1" w:styleId="para-indent">
    <w:name w:val="para-indent"/>
    <w:basedOn w:val="para"/>
    <w:rsid w:val="00165C77"/>
    <w:pPr>
      <w:ind w:left="720"/>
    </w:pPr>
  </w:style>
  <w:style w:type="paragraph" w:customStyle="1" w:styleId="Pas">
    <w:name w:val="Pas"/>
    <w:basedOn w:val="Normal"/>
    <w:rsid w:val="00165C77"/>
    <w:pPr>
      <w:widowControl w:val="0"/>
    </w:pPr>
    <w:rPr>
      <w:rFonts w:ascii="CG Times" w:eastAsia="MS Mincho" w:hAnsi="CG Times"/>
      <w:lang w:val="sq-AL"/>
    </w:rPr>
  </w:style>
  <w:style w:type="paragraph" w:customStyle="1" w:styleId="Section">
    <w:name w:val="Section"/>
    <w:rsid w:val="00165C77"/>
    <w:rPr>
      <w:rFonts w:ascii="Arial" w:hAnsi="Arial" w:cs="Arial"/>
      <w:bCs/>
      <w:kern w:val="32"/>
      <w:sz w:val="48"/>
      <w:szCs w:val="32"/>
      <w:lang w:val="en-US" w:eastAsia="en-US" w:bidi="en-US"/>
    </w:rPr>
  </w:style>
  <w:style w:type="paragraph" w:customStyle="1" w:styleId="SectionNUM">
    <w:name w:val="Section NUM"/>
    <w:next w:val="Heading1"/>
    <w:rsid w:val="00165C77"/>
    <w:pPr>
      <w:keepNext/>
      <w:pageBreakBefore/>
      <w:tabs>
        <w:tab w:val="num" w:pos="720"/>
      </w:tabs>
      <w:spacing w:after="240"/>
      <w:ind w:left="720" w:hanging="360"/>
    </w:pPr>
    <w:rPr>
      <w:rFonts w:ascii="Trebuchet MS" w:hAnsi="Trebuchet MS"/>
      <w:b/>
      <w:kern w:val="32"/>
      <w:sz w:val="36"/>
      <w:lang w:eastAsia="en-US" w:bidi="en-US"/>
    </w:rPr>
  </w:style>
  <w:style w:type="paragraph" w:customStyle="1" w:styleId="Style">
    <w:name w:val="Style"/>
    <w:rsid w:val="00165C77"/>
    <w:pPr>
      <w:widowControl w:val="0"/>
      <w:autoSpaceDE w:val="0"/>
      <w:autoSpaceDN w:val="0"/>
      <w:adjustRightInd w:val="0"/>
    </w:pPr>
    <w:rPr>
      <w:rFonts w:eastAsia="MS Mincho"/>
      <w:sz w:val="24"/>
      <w:szCs w:val="24"/>
      <w:lang w:val="en-US" w:eastAsia="en-US" w:bidi="en-US"/>
    </w:rPr>
  </w:style>
  <w:style w:type="paragraph" w:customStyle="1" w:styleId="StyleCaption">
    <w:name w:val="Style Caption"/>
    <w:basedOn w:val="Normal"/>
    <w:rsid w:val="00165C77"/>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165C77"/>
    <w:rPr>
      <w:rFonts w:ascii="Trebuchet MS" w:eastAsia="MS Mincho" w:hAnsi="Trebuchet MS"/>
      <w:sz w:val="18"/>
      <w:szCs w:val="18"/>
      <w:lang w:val="en-US" w:eastAsia="en-US" w:bidi="ar-SA"/>
    </w:rPr>
  </w:style>
  <w:style w:type="paragraph" w:customStyle="1" w:styleId="sub-list">
    <w:name w:val="sub-list"/>
    <w:rsid w:val="00165C77"/>
    <w:pPr>
      <w:spacing w:before="60" w:after="120"/>
    </w:pPr>
    <w:rPr>
      <w:rFonts w:ascii="Arial" w:hAnsi="Arial"/>
      <w:sz w:val="22"/>
      <w:szCs w:val="24"/>
      <w:lang w:val="en-US" w:eastAsia="en-US" w:bidi="en-US"/>
    </w:rPr>
  </w:style>
  <w:style w:type="paragraph" w:customStyle="1" w:styleId="tabela">
    <w:name w:val="tabela"/>
    <w:basedOn w:val="Normal"/>
    <w:rsid w:val="00165C77"/>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165C77"/>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rsid w:val="00165C77"/>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165C77"/>
    <w:pPr>
      <w:spacing w:before="40" w:after="40"/>
      <w:jc w:val="both"/>
    </w:pPr>
    <w:rPr>
      <w:rFonts w:ascii="Trebuchet MS" w:eastAsia="MS Mincho" w:hAnsi="Trebuchet MS"/>
      <w:sz w:val="18"/>
      <w:lang w:val="it-IT"/>
    </w:rPr>
  </w:style>
  <w:style w:type="paragraph" w:styleId="Title">
    <w:name w:val="Title"/>
    <w:basedOn w:val="Normal"/>
    <w:next w:val="Normal"/>
    <w:link w:val="TitleChar"/>
    <w:qFormat/>
    <w:rsid w:val="00165C77"/>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rsid w:val="00165C77"/>
    <w:rPr>
      <w:rFonts w:ascii="Cambria" w:hAnsi="Cambria"/>
      <w:spacing w:val="5"/>
      <w:sz w:val="52"/>
      <w:szCs w:val="52"/>
      <w:lang w:val="en-US" w:eastAsia="en-US" w:bidi="en-US"/>
    </w:rPr>
  </w:style>
  <w:style w:type="paragraph" w:styleId="Subtitle">
    <w:name w:val="Subtitle"/>
    <w:basedOn w:val="Normal"/>
    <w:next w:val="Normal"/>
    <w:link w:val="SubtitleChar"/>
    <w:qFormat/>
    <w:rsid w:val="00165C77"/>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rsid w:val="00165C77"/>
    <w:rPr>
      <w:rFonts w:ascii="Cambria" w:hAnsi="Cambria"/>
      <w:i/>
      <w:iCs/>
      <w:spacing w:val="13"/>
      <w:sz w:val="24"/>
      <w:szCs w:val="24"/>
      <w:lang w:val="en-US" w:eastAsia="en-US" w:bidi="en-US"/>
    </w:rPr>
  </w:style>
  <w:style w:type="paragraph" w:styleId="NoSpacing">
    <w:name w:val="No Spacing"/>
    <w:basedOn w:val="Normal"/>
    <w:qFormat/>
    <w:rsid w:val="00165C77"/>
    <w:pPr>
      <w:spacing w:after="0" w:line="240" w:lineRule="auto"/>
    </w:pPr>
  </w:style>
  <w:style w:type="paragraph" w:styleId="Quote">
    <w:name w:val="Quote"/>
    <w:basedOn w:val="Normal"/>
    <w:next w:val="Normal"/>
    <w:link w:val="QuoteChar"/>
    <w:qFormat/>
    <w:rsid w:val="00165C77"/>
    <w:pPr>
      <w:spacing w:before="200" w:after="0"/>
      <w:ind w:left="360" w:right="360"/>
    </w:pPr>
    <w:rPr>
      <w:i/>
      <w:iCs/>
    </w:rPr>
  </w:style>
  <w:style w:type="character" w:customStyle="1" w:styleId="QuoteChar">
    <w:name w:val="Quote Char"/>
    <w:basedOn w:val="DefaultParagraphFont"/>
    <w:link w:val="Quote"/>
    <w:rsid w:val="00165C77"/>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165C77"/>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165C77"/>
    <w:rPr>
      <w:rFonts w:ascii="Calibri" w:eastAsia="Calibri" w:hAnsi="Calibri"/>
      <w:b/>
      <w:bCs/>
      <w:i/>
      <w:iCs/>
      <w:sz w:val="22"/>
      <w:szCs w:val="22"/>
      <w:lang w:val="en-US" w:eastAsia="en-US" w:bidi="en-US"/>
    </w:rPr>
  </w:style>
  <w:style w:type="character" w:styleId="SubtleEmphasis">
    <w:name w:val="Subtle Emphasis"/>
    <w:qFormat/>
    <w:rsid w:val="00165C77"/>
    <w:rPr>
      <w:i/>
      <w:iCs/>
    </w:rPr>
  </w:style>
  <w:style w:type="character" w:styleId="IntenseEmphasis">
    <w:name w:val="Intense Emphasis"/>
    <w:qFormat/>
    <w:rsid w:val="00165C77"/>
    <w:rPr>
      <w:b/>
      <w:bCs/>
    </w:rPr>
  </w:style>
  <w:style w:type="character" w:styleId="SubtleReference">
    <w:name w:val="Subtle Reference"/>
    <w:qFormat/>
    <w:rsid w:val="00165C77"/>
    <w:rPr>
      <w:smallCaps/>
    </w:rPr>
  </w:style>
  <w:style w:type="character" w:styleId="IntenseReference">
    <w:name w:val="Intense Reference"/>
    <w:qFormat/>
    <w:rsid w:val="00165C77"/>
    <w:rPr>
      <w:smallCaps/>
      <w:spacing w:val="5"/>
      <w:u w:val="single"/>
    </w:rPr>
  </w:style>
  <w:style w:type="character" w:styleId="BookTitle">
    <w:name w:val="Book Title"/>
    <w:qFormat/>
    <w:rsid w:val="00165C77"/>
    <w:rPr>
      <w:i/>
      <w:iCs/>
      <w:smallCaps/>
      <w:spacing w:val="5"/>
    </w:rPr>
  </w:style>
  <w:style w:type="paragraph" w:styleId="TOCHeading">
    <w:name w:val="TOC Heading"/>
    <w:basedOn w:val="Heading1"/>
    <w:next w:val="Normal"/>
    <w:qFormat/>
    <w:rsid w:val="00165C77"/>
    <w:pPr>
      <w:keepNext w:val="0"/>
      <w:spacing w:before="480" w:after="0"/>
      <w:contextualSpacing/>
      <w:outlineLvl w:val="9"/>
    </w:pPr>
    <w:rPr>
      <w:rFonts w:ascii="Cambria" w:hAnsi="Cambria" w:cs="Times New Roman"/>
      <w:kern w:val="0"/>
      <w:sz w:val="28"/>
      <w:szCs w:val="28"/>
    </w:rPr>
  </w:style>
  <w:style w:type="paragraph" w:styleId="Header">
    <w:name w:val="header"/>
    <w:basedOn w:val="Normal"/>
    <w:link w:val="HeaderChar"/>
    <w:semiHidden/>
    <w:unhideWhenUsed/>
    <w:rsid w:val="00165C77"/>
    <w:pPr>
      <w:tabs>
        <w:tab w:val="center" w:pos="4680"/>
        <w:tab w:val="right" w:pos="9360"/>
      </w:tabs>
    </w:pPr>
  </w:style>
  <w:style w:type="character" w:customStyle="1" w:styleId="HeaderChar">
    <w:name w:val="Header Char"/>
    <w:basedOn w:val="DefaultParagraphFont"/>
    <w:link w:val="Header"/>
    <w:semiHidden/>
    <w:rsid w:val="00165C77"/>
    <w:rPr>
      <w:rFonts w:ascii="Calibri" w:eastAsia="Calibri" w:hAnsi="Calibri"/>
      <w:sz w:val="22"/>
      <w:szCs w:val="22"/>
      <w:lang w:val="en-US" w:eastAsia="en-US" w:bidi="en-US"/>
    </w:rPr>
  </w:style>
  <w:style w:type="character" w:customStyle="1" w:styleId="CharChar15">
    <w:name w:val="Char Char15"/>
    <w:basedOn w:val="DefaultParagraphFont"/>
    <w:locked/>
    <w:rsid w:val="00165C77"/>
    <w:rPr>
      <w:rFonts w:ascii="Arial" w:hAnsi="Arial" w:cs="Arial"/>
      <w:b/>
      <w:bCs/>
      <w:kern w:val="32"/>
      <w:sz w:val="32"/>
      <w:szCs w:val="32"/>
      <w:lang w:val="pl-PL"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4525</Words>
  <Characters>25798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30263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3</cp:revision>
  <dcterms:created xsi:type="dcterms:W3CDTF">2025-10-09T12:40:00Z</dcterms:created>
  <dcterms:modified xsi:type="dcterms:W3CDTF">2025-10-09T12:40:00Z</dcterms:modified>
</cp:coreProperties>
</file>