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A71" w:rsidRDefault="004F2A71" w:rsidP="004F2A71">
      <w:pPr>
        <w:pStyle w:val="Akti"/>
      </w:pPr>
      <w:bookmarkStart w:id="0" w:name="_GoBack"/>
      <w:bookmarkEnd w:id="0"/>
      <w:r w:rsidRPr="009F7A91">
        <w:t>Vendim</w:t>
      </w:r>
    </w:p>
    <w:p w:rsidR="004F2A71" w:rsidRDefault="004F2A71" w:rsidP="004F2A71">
      <w:pPr>
        <w:pStyle w:val="NumriData"/>
      </w:pPr>
      <w:r>
        <w:t>Nr.836, datë 21.10.2010</w:t>
      </w:r>
    </w:p>
    <w:p w:rsidR="004F2A71" w:rsidRDefault="004F2A71" w:rsidP="004F2A71">
      <w:pPr>
        <w:pStyle w:val="Paragrafi"/>
      </w:pPr>
    </w:p>
    <w:p w:rsidR="004F2A71" w:rsidRDefault="004F2A71" w:rsidP="004F2A71">
      <w:pPr>
        <w:pStyle w:val="Titulli"/>
      </w:pPr>
      <w:r>
        <w:t xml:space="preserve">Për një shtesë në vendimin nr.591, datë 23.7.2010 të Këshillit të Ministrave “Për disiplinimin e përdorimit të fondeve buxhetore”, </w:t>
      </w:r>
    </w:p>
    <w:p w:rsidR="004F2A71" w:rsidRDefault="004F2A71" w:rsidP="004F2A71">
      <w:pPr>
        <w:pStyle w:val="Titulli"/>
      </w:pPr>
      <w:r>
        <w:t>të ndryshuar</w:t>
      </w:r>
    </w:p>
    <w:p w:rsidR="004F2A71" w:rsidRDefault="004F2A71" w:rsidP="004F2A71">
      <w:pPr>
        <w:pStyle w:val="Paragrafi"/>
      </w:pPr>
    </w:p>
    <w:p w:rsidR="004F2A71" w:rsidRDefault="004F2A71" w:rsidP="004F2A71">
      <w:pPr>
        <w:pStyle w:val="Paragrafi"/>
      </w:pPr>
      <w:r>
        <w:t>Në mbështetje të nenit 100 të Kushtetutës, të ligjit nr.9643, datë 20.11.2006 “Për prokurimin publik”, të ndryshuar, të shkronjës “ç” të pikës 3 të kreut I të vendimit nr.1, datë 10.1.2007 të Këshillit të Ministrave “Për miratimin e rregullave të prokurimit publik”, të ndryshuar, të ligjit nr.9936, datë 26.6.2008 “Për menaxhimin e sistemit buxhetor në Republikën e Shqipërisë” dhe të ligjit nr.10 190, datë 26.11.2009 “Për buxhetin e vitit 2010”, të ndryshuar, me propozimin e Ministrit të Financave, Këshilli i Ministrave</w:t>
      </w:r>
    </w:p>
    <w:p w:rsidR="004F2A71" w:rsidRDefault="004F2A71" w:rsidP="004F2A71">
      <w:pPr>
        <w:pStyle w:val="Paragrafi"/>
      </w:pPr>
    </w:p>
    <w:p w:rsidR="004F2A71" w:rsidRDefault="004F2A71" w:rsidP="004F2A71">
      <w:pPr>
        <w:pStyle w:val="VENDOSI"/>
      </w:pPr>
      <w:r>
        <w:t>Vendosi:</w:t>
      </w:r>
    </w:p>
    <w:p w:rsidR="004F2A71" w:rsidRDefault="004F2A71" w:rsidP="004F2A71">
      <w:pPr>
        <w:pStyle w:val="Paragrafi"/>
      </w:pPr>
    </w:p>
    <w:p w:rsidR="004F2A71" w:rsidRDefault="004F2A71" w:rsidP="004F2A71">
      <w:pPr>
        <w:pStyle w:val="Paragrafi"/>
      </w:pPr>
      <w:r>
        <w:t>Në fund të shkronjës “dh” të pikës 1 të vendimit nr.591, datë 23.7.2010 të Këshillit të Ministrave, të ndryshuar, shtohen paragrafët, me këtë përmbajtje:</w:t>
      </w:r>
    </w:p>
    <w:p w:rsidR="004F2A71" w:rsidRDefault="004F2A71" w:rsidP="004F2A71">
      <w:pPr>
        <w:pStyle w:val="Paragrafi"/>
      </w:pPr>
      <w:r>
        <w:t>“Përjashtimisht, lejohet Ministria e Punëve Publike dhe Transportit të vijojë normalisht kryerjen e procedurave të prokurimit, me objekt:</w:t>
      </w:r>
    </w:p>
    <w:p w:rsidR="004F2A71" w:rsidRDefault="004F2A71" w:rsidP="004F2A71">
      <w:pPr>
        <w:pStyle w:val="Paragrafi"/>
      </w:pPr>
      <w:r>
        <w:t>i) Mirëmbajtje e motoskafëve;</w:t>
      </w:r>
    </w:p>
    <w:p w:rsidR="004F2A71" w:rsidRDefault="004F2A71" w:rsidP="004F2A71">
      <w:pPr>
        <w:pStyle w:val="Paragrafi"/>
      </w:pPr>
      <w:r>
        <w:t>ii) Blerje pajisjesh këmbimi për lokomotiva e vagonë;</w:t>
      </w:r>
    </w:p>
    <w:p w:rsidR="004F2A71" w:rsidRDefault="004F2A71" w:rsidP="004F2A71">
      <w:pPr>
        <w:pStyle w:val="Paragrafi"/>
      </w:pPr>
      <w:r>
        <w:t>iii) Përmirësim i furnizimit me ujë në zonën e Shkozetit, pranë Gjykatës së Apelit, Durrës, me vlerë 7 milionë lekë;</w:t>
      </w:r>
    </w:p>
    <w:p w:rsidR="004F2A71" w:rsidRDefault="004F2A71" w:rsidP="004F2A71">
      <w:pPr>
        <w:pStyle w:val="Paragrafi"/>
      </w:pPr>
      <w:r>
        <w:t>iv)Përmirësim i furnizimit me ujë në zonën e Shkozetit, përballë Gjykatës së Apelit Durrës, me vlerë 5.33 milionë lekë;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 xml:space="preserve">v) Rehabilitim i tubacionit </w:t>
      </w:r>
      <w:r w:rsidRPr="004F2A71">
        <w:rPr>
          <w:rFonts w:ascii="Sylfaen" w:hAnsi="Sylfaen"/>
          <w:lang w:val="it-IT"/>
        </w:rPr>
        <w:t>Ø</w:t>
      </w:r>
      <w:r w:rsidRPr="004F2A71">
        <w:rPr>
          <w:lang w:val="it-IT"/>
        </w:rPr>
        <w:t>=700 mm në zonën e Fushëkuqes;</w:t>
      </w:r>
    </w:p>
    <w:p w:rsidR="004F2A71" w:rsidRPr="001425A7" w:rsidRDefault="004F2A71" w:rsidP="004F2A71">
      <w:pPr>
        <w:pStyle w:val="Paragrafi"/>
        <w:rPr>
          <w:lang w:val="it-IT"/>
        </w:rPr>
      </w:pPr>
      <w:r w:rsidRPr="001425A7">
        <w:rPr>
          <w:lang w:val="it-IT"/>
        </w:rPr>
        <w:t>vi) Furnizimi me ujë në zonën e ish-Kënetës, lagjja nr.14;</w:t>
      </w:r>
    </w:p>
    <w:p w:rsidR="004F2A71" w:rsidRPr="001425A7" w:rsidRDefault="004F2A71" w:rsidP="004F2A71">
      <w:pPr>
        <w:pStyle w:val="Paragrafi"/>
        <w:rPr>
          <w:lang w:val="it-IT"/>
        </w:rPr>
      </w:pPr>
      <w:r w:rsidRPr="001425A7">
        <w:rPr>
          <w:lang w:val="it-IT"/>
        </w:rPr>
        <w:t>vii) Furnizimi me ujë në qytetin e Shkozetit, zona te pallatet e Agro-biznesit, Shkozet, Durrës.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Përjashtimisht, lejohet Shërbimi Informativ i Shtetit të vijojë normalisht kryerjen e procedurave të prokurimit, me objekt: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Blerje dhe instalim të Qendrës së Re të Përgjimeve të Telekomunikimeve.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Përjashtimisht, lejohet Ministria e Punës, Çështjeve Sociale dhe Shanseve të Barabarta të vijojë normalisht kryerjen e procedurave të prokurimit, me objekt: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Shtypshkrimi i fletë-ankimeve për regjistrimin e përfituesve të ndihmës ekonomike.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Përjashtimisht, lejohet Ministria e Ekonomisë, Tregtisë dhe Energjetikës, Inspektorati Qendror Teknik, të vijojë normalisht kryerjen e procedurave të prokurimit, me objekt: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i) Blerje reagent dhe qelqurina;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ii) Kryerje shërbim-kalibrimi të pajisjeve të laboratorit në gjendje;</w:t>
      </w:r>
    </w:p>
    <w:p w:rsidR="004F2A71" w:rsidRDefault="004F2A71" w:rsidP="004F2A71">
      <w:pPr>
        <w:pStyle w:val="Paragrafi"/>
      </w:pPr>
      <w:r>
        <w:t>iii) Blerje aparaturash të reja.</w:t>
      </w:r>
    </w:p>
    <w:p w:rsidR="004F2A71" w:rsidRDefault="004F2A71" w:rsidP="004F2A71">
      <w:pPr>
        <w:pStyle w:val="Paragrafi"/>
      </w:pPr>
      <w:r>
        <w:t>Përjashtimisht, lejohet Ministria e Financave, Drejtoria e Përgjithshme e Tatimeve, të vijojë normalisht kryerjen e procedurave të prokurimit, me objekt:</w:t>
      </w:r>
    </w:p>
    <w:p w:rsidR="004F2A71" w:rsidRDefault="004F2A71" w:rsidP="004F2A71">
      <w:pPr>
        <w:pStyle w:val="Paragrafi"/>
      </w:pPr>
      <w:r>
        <w:t>Blerje pajisjesh të infrastrukturës së rrjetit të deklarimit elektronik.</w:t>
      </w:r>
    </w:p>
    <w:p w:rsidR="004F2A71" w:rsidRDefault="004F2A71" w:rsidP="004F2A71">
      <w:pPr>
        <w:pStyle w:val="Paragrafi"/>
      </w:pPr>
      <w:r>
        <w:t>Përjashtimisht, lejohet Ministria e Drejtësisë, Qendra e Publikimeve Zyrtare, të vijojë normalisht kryerjen e procedurave të prokurimit, me objekt:</w:t>
      </w:r>
    </w:p>
    <w:p w:rsidR="004F2A71" w:rsidRPr="001425A7" w:rsidRDefault="004F2A71" w:rsidP="004F2A71">
      <w:pPr>
        <w:pStyle w:val="Paragrafi"/>
        <w:rPr>
          <w:lang w:val="it-IT"/>
        </w:rPr>
      </w:pPr>
      <w:r w:rsidRPr="001425A7">
        <w:rPr>
          <w:lang w:val="it-IT"/>
        </w:rPr>
        <w:t>Shtypja e Fletores Zyrtare te të tretët.</w:t>
      </w:r>
    </w:p>
    <w:p w:rsidR="004F2A71" w:rsidRPr="004F2A71" w:rsidRDefault="004F2A71" w:rsidP="004F2A71">
      <w:pPr>
        <w:pStyle w:val="Paragrafi"/>
        <w:rPr>
          <w:lang w:val="it-IT"/>
        </w:rPr>
      </w:pPr>
      <w:r w:rsidRPr="004F2A71">
        <w:rPr>
          <w:lang w:val="it-IT"/>
        </w:rPr>
        <w:t>Përjashtimisht, lejohet Ministria e Shëndetësisë, si autoritet kontraktor, të vijojë kryerjen e procedurave të prokurimit, me objekt:</w:t>
      </w:r>
    </w:p>
    <w:p w:rsidR="004F2A71" w:rsidRDefault="004F2A71" w:rsidP="004F2A71">
      <w:pPr>
        <w:pStyle w:val="Paragrafi"/>
      </w:pPr>
      <w:r>
        <w:t>i) Rikonstruksion i sistemit të ngrohjes të spitalit Pogradec;</w:t>
      </w:r>
    </w:p>
    <w:p w:rsidR="004F2A71" w:rsidRDefault="004F2A71" w:rsidP="004F2A71">
      <w:pPr>
        <w:pStyle w:val="Paragrafi"/>
      </w:pPr>
      <w:r>
        <w:lastRenderedPageBreak/>
        <w:t>ii) Rikonstruksion i korpusit të spitalit Pogradec, sipas masterplanit;</w:t>
      </w:r>
    </w:p>
    <w:p w:rsidR="004F2A71" w:rsidRDefault="004F2A71" w:rsidP="004F2A71">
      <w:pPr>
        <w:pStyle w:val="Paragrafi"/>
      </w:pPr>
      <w:r>
        <w:t>iii) Rikonstruksion i ambienteve dhe furnizimi me energji elektrike për instalimin e grafi-skopisë të spitalit Lezhë;</w:t>
      </w:r>
    </w:p>
    <w:p w:rsidR="004F2A71" w:rsidRPr="004F2A71" w:rsidRDefault="004F2A71" w:rsidP="004F2A71">
      <w:pPr>
        <w:pStyle w:val="Paragrafi"/>
      </w:pPr>
      <w:r w:rsidRPr="004F2A71">
        <w:t>iv)Blerje materialesh konsumi laboratorikë për ISHP-në.</w:t>
      </w:r>
    </w:p>
    <w:p w:rsidR="004F2A71" w:rsidRPr="004F2A71" w:rsidRDefault="004F2A71" w:rsidP="004F2A71">
      <w:pPr>
        <w:pStyle w:val="Paragrafi"/>
      </w:pPr>
      <w:r w:rsidRPr="004F2A71">
        <w:t>Përjashtimisht, lejohen të gjitha subjektet kontraktore të vijojnë normalisht procedurat e prokurimit për shërbimin e ruajtjes së institucioneve me rojë private.”.</w:t>
      </w:r>
    </w:p>
    <w:p w:rsidR="004F2A71" w:rsidRPr="004F2A71" w:rsidRDefault="004F2A71" w:rsidP="004F2A71">
      <w:pPr>
        <w:pStyle w:val="Paragrafi"/>
      </w:pPr>
      <w:r w:rsidRPr="004F2A71">
        <w:t>Ky vendim hyn në fuqi menjëherë dhe botohet në Fletoren Zyrtare.</w:t>
      </w:r>
    </w:p>
    <w:p w:rsidR="004F2A71" w:rsidRPr="004F2A71" w:rsidRDefault="004F2A71" w:rsidP="004F2A71">
      <w:pPr>
        <w:pStyle w:val="Paragrafi"/>
      </w:pPr>
    </w:p>
    <w:p w:rsidR="004F2A71" w:rsidRDefault="004F2A71" w:rsidP="004F2A71">
      <w:pPr>
        <w:pStyle w:val="Autoriteti"/>
      </w:pPr>
      <w:r>
        <w:t>Kryeministri</w:t>
      </w:r>
    </w:p>
    <w:p w:rsidR="004F2A71" w:rsidRPr="009F7A91" w:rsidRDefault="004F2A71" w:rsidP="004F2A71">
      <w:pPr>
        <w:pStyle w:val="AutoritetiEmer"/>
      </w:pPr>
      <w:r>
        <w:t>Sali Berisha</w:t>
      </w:r>
    </w:p>
    <w:sectPr w:rsidR="004F2A71" w:rsidRPr="009F7A91" w:rsidSect="004F2A71">
      <w:footerReference w:type="even" r:id="rId6"/>
      <w:footerReference w:type="default" r:id="rId7"/>
      <w:pgSz w:w="12240" w:h="15840"/>
      <w:pgMar w:top="1440" w:right="1440" w:bottom="1440" w:left="1440" w:header="720" w:footer="720" w:gutter="0"/>
      <w:pgNumType w:start="781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214B8">
      <w:pPr>
        <w:spacing w:after="0" w:line="240" w:lineRule="auto"/>
      </w:pPr>
      <w:r>
        <w:separator/>
      </w:r>
    </w:p>
  </w:endnote>
  <w:endnote w:type="continuationSeparator" w:id="0">
    <w:p w:rsidR="00000000" w:rsidRDefault="00D214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A71" w:rsidRDefault="004F2A71" w:rsidP="004F2A71">
    <w:pPr>
      <w:pStyle w:val="Footer"/>
      <w:framePr w:wrap="around" w:vAnchor="text" w:hAnchor="margin" w:xAlign="outside" w:y="1"/>
      <w:rPr>
        <w:rStyle w:val="PageNumber"/>
      </w:rPr>
    </w:pPr>
    <w:r w:rsidRPr="008F0AA7">
      <w:rPr>
        <w:rStyle w:val="PageNumber"/>
        <w:rFonts w:ascii="CG Times" w:hAnsi="CG Times"/>
      </w:rPr>
      <w:fldChar w:fldCharType="begin"/>
    </w:r>
    <w:r w:rsidRPr="008F0AA7">
      <w:rPr>
        <w:rStyle w:val="PageNumber"/>
        <w:rFonts w:ascii="CG Times" w:hAnsi="CG Times"/>
      </w:rPr>
      <w:instrText xml:space="preserve">PAGE  </w:instrText>
    </w:r>
    <w:r w:rsidRPr="008F0AA7">
      <w:rPr>
        <w:rStyle w:val="PageNumber"/>
        <w:rFonts w:ascii="CG Times" w:hAnsi="CG Times"/>
      </w:rPr>
      <w:fldChar w:fldCharType="separate"/>
    </w:r>
    <w:r>
      <w:rPr>
        <w:rStyle w:val="PageNumber"/>
        <w:rFonts w:ascii="CG Times" w:hAnsi="CG Times"/>
        <w:noProof/>
      </w:rPr>
      <w:t>7836</w:t>
    </w:r>
    <w:r w:rsidRPr="008F0AA7">
      <w:rPr>
        <w:rStyle w:val="PageNumber"/>
        <w:rFonts w:ascii="CG Times" w:hAnsi="CG Times"/>
      </w:rPr>
      <w:fldChar w:fldCharType="end"/>
    </w:r>
  </w:p>
  <w:p w:rsidR="004F2A71" w:rsidRPr="006A5630" w:rsidRDefault="004F2A71" w:rsidP="004F2A71">
    <w:pPr>
      <w:pStyle w:val="Footer"/>
      <w:ind w:right="360" w:firstLine="360"/>
      <w:rPr>
        <w:rFonts w:ascii="CG Times" w:hAnsi="CG Times"/>
      </w:rPr>
    </w:pPr>
  </w:p>
  <w:p w:rsidR="004F2A71" w:rsidRDefault="004F2A7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2A71" w:rsidRPr="000D7B80" w:rsidRDefault="004F2A71" w:rsidP="004F2A71">
    <w:pPr>
      <w:pStyle w:val="Footer"/>
      <w:framePr w:wrap="around" w:vAnchor="text" w:hAnchor="margin" w:xAlign="outside" w:y="1"/>
      <w:rPr>
        <w:rStyle w:val="PageNumber"/>
        <w:rFonts w:ascii="CG Times" w:hAnsi="CG Times"/>
      </w:rPr>
    </w:pPr>
    <w:r w:rsidRPr="000D7B80">
      <w:rPr>
        <w:rStyle w:val="PageNumber"/>
        <w:rFonts w:ascii="CG Times" w:hAnsi="CG Times"/>
      </w:rPr>
      <w:fldChar w:fldCharType="begin"/>
    </w:r>
    <w:r w:rsidRPr="000D7B80">
      <w:rPr>
        <w:rStyle w:val="PageNumber"/>
        <w:rFonts w:ascii="CG Times" w:hAnsi="CG Times"/>
      </w:rPr>
      <w:instrText xml:space="preserve">PAGE  </w:instrText>
    </w:r>
    <w:r w:rsidRPr="000D7B80">
      <w:rPr>
        <w:rStyle w:val="PageNumber"/>
        <w:rFonts w:ascii="CG Times" w:hAnsi="CG Times"/>
      </w:rPr>
      <w:fldChar w:fldCharType="separate"/>
    </w:r>
    <w:r w:rsidR="00D214B8">
      <w:rPr>
        <w:rStyle w:val="PageNumber"/>
        <w:rFonts w:ascii="CG Times" w:hAnsi="CG Times"/>
        <w:noProof/>
      </w:rPr>
      <w:t>7814</w:t>
    </w:r>
    <w:r w:rsidRPr="000D7B80">
      <w:rPr>
        <w:rStyle w:val="PageNumber"/>
        <w:rFonts w:ascii="CG Times" w:hAnsi="CG Times"/>
      </w:rPr>
      <w:fldChar w:fldCharType="end"/>
    </w:r>
  </w:p>
  <w:p w:rsidR="004F2A71" w:rsidRPr="003E65E2" w:rsidRDefault="004F2A71" w:rsidP="004F2A71">
    <w:pPr>
      <w:pStyle w:val="Footer"/>
      <w:ind w:right="360" w:firstLine="360"/>
      <w:jc w:val="right"/>
      <w:rPr>
        <w:rFonts w:ascii="CG Times" w:hAnsi="CG Times"/>
      </w:rPr>
    </w:pPr>
  </w:p>
  <w:p w:rsidR="004F2A71" w:rsidRDefault="004F2A7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214B8">
      <w:pPr>
        <w:spacing w:after="0" w:line="240" w:lineRule="auto"/>
      </w:pPr>
      <w:r>
        <w:separator/>
      </w:r>
    </w:p>
  </w:footnote>
  <w:footnote w:type="continuationSeparator" w:id="0">
    <w:p w:rsidR="00000000" w:rsidRDefault="00D214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F2A71"/>
    <w:rsid w:val="00072E1C"/>
    <w:rsid w:val="000A70A8"/>
    <w:rsid w:val="00143F0C"/>
    <w:rsid w:val="00285DA9"/>
    <w:rsid w:val="002C534B"/>
    <w:rsid w:val="003561B8"/>
    <w:rsid w:val="003F59C8"/>
    <w:rsid w:val="00461BDD"/>
    <w:rsid w:val="004D4BBD"/>
    <w:rsid w:val="004F2A71"/>
    <w:rsid w:val="00502287"/>
    <w:rsid w:val="007143D0"/>
    <w:rsid w:val="00721505"/>
    <w:rsid w:val="007C10D0"/>
    <w:rsid w:val="007C556A"/>
    <w:rsid w:val="008046B4"/>
    <w:rsid w:val="008F12D6"/>
    <w:rsid w:val="008F3219"/>
    <w:rsid w:val="00AA0E82"/>
    <w:rsid w:val="00AC0DF0"/>
    <w:rsid w:val="00B93FE1"/>
    <w:rsid w:val="00BC0D57"/>
    <w:rsid w:val="00C601DA"/>
    <w:rsid w:val="00C737D0"/>
    <w:rsid w:val="00D214B8"/>
    <w:rsid w:val="00D5344B"/>
    <w:rsid w:val="00E87B14"/>
    <w:rsid w:val="00ED79C0"/>
    <w:rsid w:val="00F02E75"/>
    <w:rsid w:val="00F10F7E"/>
    <w:rsid w:val="00F653DC"/>
    <w:rsid w:val="00F71CC9"/>
    <w:rsid w:val="00FF4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F80A2DD-F2B2-4B51-B5BC-C504BA0D8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2A71"/>
    <w:pPr>
      <w:spacing w:after="200" w:line="276" w:lineRule="auto"/>
    </w:pPr>
    <w:rPr>
      <w:rFonts w:ascii="Calibri" w:eastAsia="Calibri" w:hAnsi="Calibri"/>
      <w:sz w:val="22"/>
      <w:szCs w:val="22"/>
      <w:lang w:val="en-US" w:eastAsia="en-US" w:bidi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F2A7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4F2A7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4F2A71"/>
    <w:pPr>
      <w:widowControl w:val="0"/>
      <w:jc w:val="right"/>
    </w:pPr>
    <w:rPr>
      <w:rFonts w:ascii="CG Times" w:hAnsi="CG Times"/>
      <w:b/>
      <w:sz w:val="22"/>
      <w:szCs w:val="22"/>
      <w:lang w:eastAsia="en-US" w:bidi="en-US"/>
    </w:rPr>
  </w:style>
  <w:style w:type="paragraph" w:styleId="Footer">
    <w:name w:val="footer"/>
    <w:basedOn w:val="Normal"/>
    <w:link w:val="FooterChar"/>
    <w:rsid w:val="004F2A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4F2A71"/>
    <w:rPr>
      <w:rFonts w:ascii="Calibri" w:eastAsia="Calibri" w:hAnsi="Calibri"/>
      <w:sz w:val="22"/>
      <w:szCs w:val="22"/>
      <w:lang w:val="en-US" w:eastAsia="en-US" w:bidi="en-US"/>
    </w:rPr>
  </w:style>
  <w:style w:type="paragraph" w:customStyle="1" w:styleId="NumriData">
    <w:name w:val="Numri_Data"/>
    <w:next w:val="Normal"/>
    <w:link w:val="NumriDataChar"/>
    <w:rsid w:val="004F2A7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4F2A71"/>
  </w:style>
  <w:style w:type="paragraph" w:customStyle="1" w:styleId="Paragrafi">
    <w:name w:val="Paragrafi"/>
    <w:link w:val="ParagrafiChar"/>
    <w:rsid w:val="004F2A71"/>
    <w:pPr>
      <w:widowControl w:val="0"/>
      <w:ind w:firstLine="720"/>
      <w:jc w:val="both"/>
    </w:pPr>
    <w:rPr>
      <w:rFonts w:ascii="CG Times" w:hAnsi="CG Times"/>
      <w:sz w:val="22"/>
      <w:lang w:val="en-US" w:eastAsia="en-US" w:bidi="en-US"/>
    </w:rPr>
  </w:style>
  <w:style w:type="paragraph" w:customStyle="1" w:styleId="Titulli">
    <w:name w:val="Titulli"/>
    <w:next w:val="Normal"/>
    <w:rsid w:val="004F2A7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4F2A7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 w:bidi="en-US"/>
    </w:rPr>
  </w:style>
  <w:style w:type="character" w:customStyle="1" w:styleId="NumriDataChar">
    <w:name w:val="Numri_Data Char"/>
    <w:basedOn w:val="DefaultParagraphFont"/>
    <w:link w:val="NumriData"/>
    <w:rsid w:val="004F2A71"/>
    <w:rPr>
      <w:rFonts w:ascii="CG Times" w:hAnsi="CG Times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rsid w:val="004F2A71"/>
    <w:rPr>
      <w:rFonts w:ascii="CG Times" w:hAnsi="CG Times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rsid w:val="004F2A71"/>
    <w:rPr>
      <w:rFonts w:ascii="CG Times" w:hAnsi="CG Times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2019-03-17T17:43:00Z</dcterms:created>
  <dcterms:modified xsi:type="dcterms:W3CDTF">2019-03-17T17:43:00Z</dcterms:modified>
</cp:coreProperties>
</file>