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7BE" w:rsidRPr="00A4229A" w:rsidRDefault="00FE77BE" w:rsidP="00FE77B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4229A">
        <w:rPr>
          <w:sz w:val="21"/>
          <w:szCs w:val="21"/>
          <w:lang w:val="sq-AL"/>
        </w:rPr>
        <w:t>Vendim</w:t>
      </w:r>
    </w:p>
    <w:p w:rsidR="00FE77BE" w:rsidRPr="00A4229A" w:rsidRDefault="00FE77BE" w:rsidP="00FE77BE">
      <w:pPr>
        <w:pStyle w:val="NumriData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Nr.887, datë 3.11.2010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</w:p>
    <w:p w:rsidR="00FE77BE" w:rsidRPr="00A4229A" w:rsidRDefault="00FE77BE" w:rsidP="00FE77BE">
      <w:pPr>
        <w:pStyle w:val="Titull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Për disa shtesa e ndryshime në vendimin nr.1146, datë 5.8.2008 të Këshillit të Ministrave “Për heqjen e disa ngastrave nga fondi pyjor dhe kullosor, që do të përdoren për vendosjen e anemometrave të nënstacioneve, për infrastrukturën lidhëse elektrike, për aerogjeneratorët, shtyllat e tensionit të lartë, si dhe për rrugët lidhëse me aerogjeneratorët”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mbështetje të nenit 100 të Kushtetutës, të shkronjës “b” të pikës 1 të nenit 17 të ligjit nr.9385, datë 4.5.2005 “Për pyjet dhe shërbimin pyjor”, të ndryshuar dhe të shkronjës “b” të pikës 1 të nenit 10 të ligjit nr.9693, datë 19.3.2007 “Për fondin kullosor”, të ndryshuar, me propozimin e Zëvendëskryeministrit dhe Ministër i Ekonomisë, Tregtisë dhe Energjetikës dhe të Ministrit të Mjedisit, Pyjeve dhe Administrimit të Ujërave, Këshilli i Ministrave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</w:p>
    <w:p w:rsidR="00FE77BE" w:rsidRPr="00A4229A" w:rsidRDefault="00FE77BE" w:rsidP="00FE77BE">
      <w:pPr>
        <w:pStyle w:val="VENDOS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Vendosi: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vendimin nr.1146, datë 5.8.2008 të Këshillit të Ministrave, të bëhen këto shtesa dhe ndryshime: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1. Pika 1 ndryshohet, si më poshtë vijon: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“1. Për sipërfaqet e fondit pyjor dhe kullosor kombëtar, që do të përdoren nga shoqëria “Enpower Albania”  sh.p.k., për ndërtimin e centralit të prodhimit të energjisë prej erës, të veprohet, si më poshtë vijon: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a) Të hiqen nga fondi pyjor dhe kullosor kombëtar dhe të çregjistrohen nga zëri kadastral “Pyje dhe kullota” sipërfaqet që do të përdoren nga shoqëria “Enpower Albania” sh.p.k., për ndërtimin e themeleve mbajtëse të kullave të aerogjeneratorëve, nënstacioneve elektrike TM/TL 30 kV/220kV, kabinave nyje të komutimit TM/TM 30kV/30kV, themeleve mbajtëse të kullave vrojtuese anemometrike, si dhe shtyllat mbajtëse të linjës së tensionit të lartë, prej 10,664 (dhjetë presje gjashtëqind e gjashtëdhjetë e katër) hektarë fond kullosor, që bëjnë pjesë në ekonomitë kullosore: Karaburun, Dukat-Tragjas-Shashicë, Shashicë-Gumenicë, Ana e Detit, si dhe 0.563 (zero presje pesëqind e gjashtëdhjetë e tre) hektarë fond pyjor, që bëjnë pjesë në ekonomitë pyjore: Brinjat e Fushës-Karaburun, Kume-Shashicë, Ana e Detit-Palas, parku pyjor kombëtar Llogara, me sipërfaqe të përgjithshme 11,227 (njëmbëdhjetë presje dyqind e njëzet e shtatë) hektarë, sipas tabelës nr.1 dhe hartës përkatëse, bashkëlidhur këtij vendimi.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b) Të jepen në përdorim sipërfaqet e fondit pyjor dhe kullosor kombëtar prej 24,093 (njëzet e katër presje zero nëntëdhjetë e tre) hektarë fond kullosor dhe 1,302 (një presje treqind e dy) hektarë fond pyjor, që do të përdoren si sheshe të përkohshme për ndërtimin e objekteve, sipas tabelës nr.2 dhe hartës, bashkëlidhur këtij vendimi.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c) Të jepen në përdorim, sipas legjislacionit në fuqi, dhe të mbeten në fondin pyjor dhe kullosor kombëtar sipërfaqet për ndërtimin e rrjetit rrugor rreth 134 (njëqind e tridhjetë e katër) km, i cili shtrihet në një sipërfaqe të përgjithshme prej 178,067 (njëqind e shtatëdhjetë e tetë presje zero gjashtëdhjetë e shtatë) hektarë, fond pyjor dhe kullosor, sipas tabelës nr.3 dhe hartës bashkëlidhur këtij vendimi dhe të regjistrohen në kadastrën e fondit pyjor dhe kullosor si “Infrastrukturë rrugore””.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2. Tabela nr.1 dhe nr.2, bashkëlidhur vendimit nr.1146, datë 5.8.2008 të Këshillit të Ministrave, zëvendësohen me tabelat 1, 2 dhe 3, si dhe me hartën bashkëlidhur këtij vendimi.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3. Pika 3 ndryshohet, si më poshtë vijon: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“3. Shoqëria “Enpower Albania, sh.p.k., duhet: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a) të përmirësojë 10,664 (dhjetë presje gjashtëqind e gjashtëdhjetë e katër) hektarë kullota, si dhe të pyllëzojë 0,563 (zero presje pesëqind e gjashtëdhjetë e tre) hektarë me pyje, brenda 2 (dy) viteve, nga fillimi i punimeve të ndërtimit të centralit, sipas ngastrave të përcaktuara nga drejtoria përkatëse e shërbimit pyjor.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 xml:space="preserve">b) të rehabilitojë dhe të rivegjetojë, brenda 2 (dy) viteve, pas përfundimit të ndërtimit të </w:t>
      </w:r>
      <w:r w:rsidRPr="00A4229A">
        <w:rPr>
          <w:sz w:val="21"/>
          <w:szCs w:val="21"/>
          <w:lang w:val="sq-AL"/>
        </w:rPr>
        <w:lastRenderedPageBreak/>
        <w:t>centralit të prodhimit të energjisë prej erës, sipërfaqet e lira, të cilat nuk do të jenë të përdorshme prej centralit elektrik me erë, gjithsej 25,395 (njëzet e pesë presje treqind e nëntëdhjetë e pesë) hektarë, (sipërfaqet e përdorura për sheshe të përkohshme të vendosjes së makinerive, gjatë ndërtimit të themeleve e kullave të aerogjeneratorëve, anemometrave, shtyllat e tensionit të lartë, nënstacionet elektrike, kabinat nyje të komutimit dhe gjithë komponentëve të tjerë të centralit elektrik).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c) të rehabilitojë, brenda 2 (dy) viteve, pas përfundimit të ndërtimit të infrastrukturës rrugore lidhëse e aerogjeneratorëve me komponentët e centralit elektrik, një sipërfaqe të fondit pyjor dhe kullosor, të barabartë me atë që do të zërë ndërtimi i infrastrukturës së rrugëve lidhëse, sipas ngastrave të përcaktuara nga drejtoria përkatëse e shërbimit pyjor, si dhe të rehabilitojë të gjitha sipërfaqet e skarpateve të infrastrukturës rrugore që do të ndërtohet, duke i veshur ato me bimësi autoktone.”.</w:t>
      </w:r>
    </w:p>
    <w:p w:rsidR="00FE77BE" w:rsidRPr="00A4229A" w:rsidRDefault="00FE77BE" w:rsidP="00FE77B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Ky vendim hyn në fuqi pas botimit në Fletoren Zyrtare.</w:t>
      </w:r>
    </w:p>
    <w:p w:rsidR="00FE77BE" w:rsidRPr="00A4229A" w:rsidRDefault="00FE77BE" w:rsidP="00FE77BE">
      <w:pPr>
        <w:pStyle w:val="Autoritet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Kryeministri</w:t>
      </w:r>
    </w:p>
    <w:p w:rsidR="00FE77BE" w:rsidRPr="00A4229A" w:rsidRDefault="00FE77BE" w:rsidP="00FE77BE">
      <w:pPr>
        <w:pStyle w:val="AutoritetiEmer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Sali Berisha</w:t>
      </w:r>
    </w:p>
    <w:p w:rsidR="00FE77BE" w:rsidRPr="00A4229A" w:rsidRDefault="00FE77BE" w:rsidP="00FE77BE">
      <w:pPr>
        <w:pStyle w:val="TitulliTitull"/>
        <w:rPr>
          <w:sz w:val="21"/>
          <w:szCs w:val="21"/>
          <w:lang w:val="sq-AL" w:eastAsia="it-IT"/>
        </w:rPr>
      </w:pPr>
    </w:p>
    <w:p w:rsidR="00FE77BE" w:rsidRPr="00A4229A" w:rsidRDefault="00FE77BE" w:rsidP="00FE77BE">
      <w:pPr>
        <w:pStyle w:val="TitulliTitull"/>
        <w:rPr>
          <w:sz w:val="21"/>
          <w:szCs w:val="21"/>
          <w:lang w:val="sq-AL" w:eastAsia="it-IT"/>
        </w:rPr>
      </w:pPr>
      <w:r w:rsidRPr="00A4229A">
        <w:rPr>
          <w:sz w:val="21"/>
          <w:szCs w:val="21"/>
          <w:lang w:val="sq-AL" w:eastAsia="it-IT"/>
        </w:rPr>
        <w:t xml:space="preserve">Tabela nr. 1 </w:t>
      </w:r>
    </w:p>
    <w:p w:rsidR="00FE77BE" w:rsidRPr="00A4229A" w:rsidRDefault="00FE77BE" w:rsidP="00FE77BE">
      <w:pPr>
        <w:pStyle w:val="TitulliTitull"/>
        <w:rPr>
          <w:sz w:val="21"/>
          <w:szCs w:val="21"/>
          <w:lang w:val="sq-AL" w:eastAsia="it-IT"/>
        </w:rPr>
      </w:pPr>
      <w:r w:rsidRPr="00A4229A">
        <w:rPr>
          <w:sz w:val="21"/>
          <w:szCs w:val="21"/>
          <w:lang w:val="sq-AL" w:eastAsia="it-IT"/>
        </w:rPr>
        <w:t xml:space="preserve">Sipërfaqet që do të hiqen nga fondi kombëtar pyjor dhe kullosor, </w:t>
      </w:r>
    </w:p>
    <w:p w:rsidR="00FE77BE" w:rsidRPr="00A4229A" w:rsidRDefault="00FE77BE" w:rsidP="00FE77BE">
      <w:pPr>
        <w:pStyle w:val="TitulliTitull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 w:eastAsia="it-IT"/>
        </w:rPr>
        <w:t>të interesuara nga “Parqet  eolike”</w:t>
      </w:r>
    </w:p>
    <w:p w:rsidR="00FE77BE" w:rsidRPr="00A4229A" w:rsidRDefault="00FE77BE" w:rsidP="00FE77BE">
      <w:pPr>
        <w:pStyle w:val="Paragrafi"/>
        <w:rPr>
          <w:lang w:val="sq-AL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"/>
        <w:gridCol w:w="2692"/>
        <w:gridCol w:w="1089"/>
        <w:gridCol w:w="1192"/>
        <w:gridCol w:w="1405"/>
        <w:gridCol w:w="1951"/>
      </w:tblGrid>
      <w:tr w:rsidR="00FE77BE" w:rsidRPr="00FE77BE" w:rsidTr="00FE77BE">
        <w:trPr>
          <w:trHeight w:val="20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jc w:val="center"/>
              <w:rPr>
                <w:b/>
                <w:sz w:val="16"/>
                <w:lang w:eastAsia="it-IT"/>
              </w:rPr>
            </w:pPr>
            <w:r w:rsidRPr="00FE77BE">
              <w:rPr>
                <w:b/>
                <w:sz w:val="16"/>
                <w:lang w:eastAsia="it-IT"/>
              </w:rPr>
              <w:t>SIPËRFAQE  FOND  PYJOR</w:t>
            </w:r>
          </w:p>
        </w:tc>
      </w:tr>
      <w:tr w:rsidR="00FE77BE" w:rsidRPr="00FE77BE" w:rsidTr="00FE77BE">
        <w:trPr>
          <w:trHeight w:val="604"/>
          <w:jc w:val="center"/>
        </w:trPr>
        <w:tc>
          <w:tcPr>
            <w:tcW w:w="257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Nr.</w:t>
            </w:r>
          </w:p>
        </w:tc>
        <w:tc>
          <w:tcPr>
            <w:tcW w:w="15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Ekonomia pyjore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Parcela nr.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Zëri kadastral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Sipërfaqja e zënë                  (hektarë)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Objekti</w:t>
            </w:r>
          </w:p>
        </w:tc>
      </w:tr>
      <w:tr w:rsidR="00FE77BE" w:rsidRPr="00FE77BE" w:rsidTr="00FE77BE">
        <w:trPr>
          <w:trHeight w:val="323"/>
          <w:jc w:val="center"/>
        </w:trPr>
        <w:tc>
          <w:tcPr>
            <w:tcW w:w="25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</w:t>
            </w:r>
          </w:p>
        </w:tc>
        <w:tc>
          <w:tcPr>
            <w:tcW w:w="153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59 / a</w:t>
            </w:r>
          </w:p>
        </w:tc>
        <w:tc>
          <w:tcPr>
            <w:tcW w:w="6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0,0484</w:t>
            </w:r>
          </w:p>
        </w:tc>
        <w:tc>
          <w:tcPr>
            <w:tcW w:w="11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                                      (themeli)</w:t>
            </w:r>
          </w:p>
        </w:tc>
      </w:tr>
      <w:tr w:rsidR="00FE77BE" w:rsidRPr="00FE77BE" w:rsidTr="00FE77BE">
        <w:trPr>
          <w:trHeight w:val="353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58 / c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0,0484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                                    (themeli)</w:t>
            </w:r>
          </w:p>
        </w:tc>
      </w:tr>
      <w:tr w:rsidR="00FE77BE" w:rsidRPr="00FE77BE" w:rsidTr="00FE77BE">
        <w:trPr>
          <w:trHeight w:val="245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0,0484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                                     (themeli)</w:t>
            </w:r>
          </w:p>
        </w:tc>
      </w:tr>
      <w:tr w:rsidR="00FE77BE" w:rsidRPr="00FE77BE" w:rsidTr="00FE77BE">
        <w:trPr>
          <w:trHeight w:val="279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Kume - Shashicë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0,0361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                                     (themeli)</w:t>
            </w:r>
          </w:p>
        </w:tc>
      </w:tr>
      <w:tr w:rsidR="00FE77BE" w:rsidRPr="00FE77BE" w:rsidTr="00FE77BE">
        <w:trPr>
          <w:trHeight w:val="299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Parku Pyjor Llogara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0,1452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                                     (themeli)</w:t>
            </w:r>
          </w:p>
        </w:tc>
      </w:tr>
      <w:tr w:rsidR="00FE77BE" w:rsidRPr="00FE77BE" w:rsidTr="00FE77BE">
        <w:trPr>
          <w:trHeight w:val="333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Parku Pyjor Llogara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29 / a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0,0484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                                        (themeli)</w:t>
            </w:r>
          </w:p>
        </w:tc>
      </w:tr>
      <w:tr w:rsidR="00FE77BE" w:rsidRPr="00FE77BE" w:rsidTr="00FE77BE">
        <w:trPr>
          <w:trHeight w:val="367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Ana e Detit - Palas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0,0968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                                       (themeli)</w:t>
            </w:r>
          </w:p>
        </w:tc>
      </w:tr>
      <w:tr w:rsidR="00FE77BE" w:rsidRPr="00FE77BE" w:rsidTr="00FE77BE">
        <w:trPr>
          <w:trHeight w:val="401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Ana e Detit - Palas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31 / a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0,0484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                                        (themeli)</w:t>
            </w:r>
          </w:p>
        </w:tc>
      </w:tr>
      <w:tr w:rsidR="00FE77BE" w:rsidRPr="00FE77BE" w:rsidTr="00FE77BE">
        <w:trPr>
          <w:trHeight w:val="302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Kume - Shashicë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anemometer</w:t>
            </w:r>
          </w:p>
        </w:tc>
      </w:tr>
      <w:tr w:rsidR="00FE77BE" w:rsidRPr="00FE77BE" w:rsidTr="00FE77BE">
        <w:trPr>
          <w:trHeight w:val="302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10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Kume - Shashicë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kabina nyje</w:t>
            </w:r>
          </w:p>
        </w:tc>
      </w:tr>
      <w:tr w:rsidR="00FE77BE" w:rsidRPr="00FE77BE" w:rsidTr="00FE77BE">
        <w:trPr>
          <w:trHeight w:val="302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Parku Pyjor Llogara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kabina nyje</w:t>
            </w:r>
          </w:p>
        </w:tc>
      </w:tr>
      <w:tr w:rsidR="00FE77BE" w:rsidRPr="00FE77BE" w:rsidTr="00FE77BE">
        <w:trPr>
          <w:trHeight w:val="302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12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Kume - Shashicë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302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13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Kume - Shashicë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302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14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47 / b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302"/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</w:tr>
      <w:tr w:rsidR="00FE77BE" w:rsidRPr="00FE77BE" w:rsidTr="00FE77BE">
        <w:trPr>
          <w:trHeight w:val="302"/>
          <w:jc w:val="center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Sipërfaqe totale ekonomi pyjore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(ha)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0,5631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</w:p>
        </w:tc>
      </w:tr>
    </w:tbl>
    <w:p w:rsidR="00FE77BE" w:rsidRPr="00A4229A" w:rsidRDefault="00FE77BE" w:rsidP="00FE77BE">
      <w:pPr>
        <w:pStyle w:val="Paragrafi"/>
        <w:rPr>
          <w:lang w:val="sq-AL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"/>
        <w:gridCol w:w="2876"/>
        <w:gridCol w:w="838"/>
        <w:gridCol w:w="111"/>
        <w:gridCol w:w="1024"/>
        <w:gridCol w:w="191"/>
        <w:gridCol w:w="795"/>
        <w:gridCol w:w="286"/>
        <w:gridCol w:w="752"/>
        <w:gridCol w:w="1479"/>
      </w:tblGrid>
      <w:tr w:rsidR="00FE77BE" w:rsidRPr="00FE77BE" w:rsidTr="00FE77BE">
        <w:trPr>
          <w:trHeight w:val="14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jc w:val="center"/>
              <w:rPr>
                <w:b/>
                <w:sz w:val="16"/>
                <w:lang w:eastAsia="it-IT"/>
              </w:rPr>
            </w:pPr>
            <w:r w:rsidRPr="00FE77BE">
              <w:rPr>
                <w:b/>
                <w:sz w:val="16"/>
                <w:lang w:eastAsia="it-IT"/>
              </w:rPr>
              <w:t>SIPËRFAQE  FOND  KULLOSOR</w:t>
            </w:r>
          </w:p>
        </w:tc>
      </w:tr>
      <w:tr w:rsidR="00FE77BE" w:rsidRPr="00FE77BE" w:rsidTr="00FE77BE">
        <w:trPr>
          <w:trHeight w:val="869"/>
          <w:jc w:val="center"/>
        </w:trPr>
        <w:tc>
          <w:tcPr>
            <w:tcW w:w="24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Nr.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Ekonomia kullosore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Parcela nr.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Zëri kadastral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Sipërfaqja e zënë                  (hektarë)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Objekti</w:t>
            </w:r>
          </w:p>
        </w:tc>
      </w:tr>
      <w:tr w:rsidR="00FE77BE" w:rsidRPr="00FE77BE" w:rsidTr="00FE77BE">
        <w:trPr>
          <w:trHeight w:val="272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0,0968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305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0,3388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3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lastRenderedPageBreak/>
              <w:t>3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0,0484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69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0,3872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8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0,1452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7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0,2904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82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0,1452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7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20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0,1452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05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0,3388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8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10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26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0,0484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99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40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0,2888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05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12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0,1083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39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13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49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0,0722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59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14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0,1083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0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15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0,0361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83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0,0722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0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0,0361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2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18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0,0361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1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19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0,2888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75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20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0,0722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5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21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0,1083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0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22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0,1083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4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23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13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0,2527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4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24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0,1083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3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25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15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0,1083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43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26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0,0361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39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27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Shashice - Gumenicë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0,1083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85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28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19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0,0722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74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29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0,0361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39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0,1444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7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31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0,0722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4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32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33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0,0722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15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33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0,0722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84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34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36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0,0722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52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35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0,3872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E77BE" w:rsidRPr="00FE77BE" w:rsidRDefault="00FE77BE" w:rsidP="00FE77BE">
            <w:pPr>
              <w:pStyle w:val="Tabele"/>
              <w:rPr>
                <w:sz w:val="16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0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36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0,0484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E77BE" w:rsidRPr="00FE77BE" w:rsidRDefault="00FE77BE" w:rsidP="00FE77BE">
            <w:pPr>
              <w:pStyle w:val="Tabele"/>
              <w:rPr>
                <w:sz w:val="16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0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37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0,3388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E77BE" w:rsidRPr="00FE77BE" w:rsidRDefault="00FE77BE" w:rsidP="00FE77BE">
            <w:pPr>
              <w:pStyle w:val="Tabele"/>
              <w:rPr>
                <w:sz w:val="16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19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38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0,5324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E77BE" w:rsidRPr="00FE77BE" w:rsidRDefault="00FE77BE" w:rsidP="00FE77BE">
            <w:pPr>
              <w:pStyle w:val="Tabele"/>
              <w:rPr>
                <w:sz w:val="16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03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39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10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0,484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282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40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0,5808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1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41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0,1936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34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42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0,2904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38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43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0,1452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28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44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27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0,1452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32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45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0,4356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aerogjeneratorë (themeli)</w:t>
            </w:r>
          </w:p>
        </w:tc>
      </w:tr>
      <w:tr w:rsidR="00FE77BE" w:rsidRPr="00FE77BE" w:rsidTr="00FE77BE">
        <w:trPr>
          <w:trHeight w:val="149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46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18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47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59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48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20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135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49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195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50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40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24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51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49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225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52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27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53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13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54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19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55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14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56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36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132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57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135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58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10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139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59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14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lastRenderedPageBreak/>
              <w:t>60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133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61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anemometër</w:t>
            </w:r>
          </w:p>
        </w:tc>
      </w:tr>
      <w:tr w:rsidR="00FE77BE" w:rsidRPr="00FE77BE" w:rsidTr="00FE77BE">
        <w:trPr>
          <w:trHeight w:val="14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62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0,6753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nënstacion elektrik</w:t>
            </w:r>
          </w:p>
        </w:tc>
      </w:tr>
      <w:tr w:rsidR="00FE77BE" w:rsidRPr="00FE77BE" w:rsidTr="00FE77BE">
        <w:trPr>
          <w:trHeight w:val="13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63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0,9134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nënstacion elektrik</w:t>
            </w:r>
          </w:p>
        </w:tc>
      </w:tr>
      <w:tr w:rsidR="00FE77BE" w:rsidRPr="00FE77BE" w:rsidTr="00FE77BE">
        <w:trPr>
          <w:trHeight w:val="79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64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49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0,6838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nënstacion elektrik</w:t>
            </w:r>
          </w:p>
        </w:tc>
      </w:tr>
      <w:tr w:rsidR="00FE77BE" w:rsidRPr="00FE77BE" w:rsidTr="00FE77BE">
        <w:trPr>
          <w:trHeight w:val="149"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65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0,018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15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66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89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67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138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68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184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69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244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70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13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13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71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265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72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12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73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0,018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13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74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16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75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22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76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18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77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27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kullote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0,009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kabinë nyje</w:t>
            </w:r>
          </w:p>
        </w:tc>
      </w:tr>
      <w:tr w:rsidR="00FE77BE" w:rsidRPr="00FE77BE" w:rsidTr="00FE77BE">
        <w:trPr>
          <w:trHeight w:val="25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78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17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79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37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259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80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38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135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81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39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209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82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40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0,01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128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83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0,005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215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84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0,03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100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85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46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0,01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137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86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47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0,01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211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87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48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0,01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130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88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49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0,015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183"/>
          <w:jc w:val="center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89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0,01</w:t>
            </w:r>
          </w:p>
        </w:tc>
        <w:tc>
          <w:tcPr>
            <w:tcW w:w="12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linjë e tensionit të lartë</w:t>
            </w:r>
          </w:p>
        </w:tc>
      </w:tr>
      <w:tr w:rsidR="00FE77BE" w:rsidRPr="00FE77BE" w:rsidTr="00FE77BE">
        <w:trPr>
          <w:trHeight w:val="38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</w:p>
        </w:tc>
      </w:tr>
      <w:tr w:rsidR="00FE77BE" w:rsidRPr="00FE77BE" w:rsidTr="00FE77BE">
        <w:trPr>
          <w:trHeight w:val="67"/>
          <w:jc w:val="center"/>
        </w:trPr>
        <w:tc>
          <w:tcPr>
            <w:tcW w:w="2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2115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Sipërfaqe totale ekonomi kullosore</w:t>
            </w:r>
          </w:p>
        </w:tc>
        <w:tc>
          <w:tcPr>
            <w:tcW w:w="646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(ha)</w:t>
            </w:r>
          </w:p>
        </w:tc>
        <w:tc>
          <w:tcPr>
            <w:tcW w:w="562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591" w:type="pct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10,6644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</w:p>
        </w:tc>
      </w:tr>
      <w:tr w:rsidR="00FE77BE" w:rsidRPr="00FE77BE" w:rsidTr="00FE77BE">
        <w:trPr>
          <w:trHeight w:val="101"/>
          <w:jc w:val="center"/>
        </w:trPr>
        <w:tc>
          <w:tcPr>
            <w:tcW w:w="2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</w:p>
        </w:tc>
        <w:tc>
          <w:tcPr>
            <w:tcW w:w="3914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</w:p>
        </w:tc>
      </w:tr>
      <w:tr w:rsidR="00FE77BE" w:rsidRPr="00FE77BE" w:rsidTr="00FE77BE">
        <w:trPr>
          <w:trHeight w:val="405"/>
          <w:jc w:val="center"/>
        </w:trPr>
        <w:tc>
          <w:tcPr>
            <w:tcW w:w="2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</w:p>
        </w:tc>
        <w:tc>
          <w:tcPr>
            <w:tcW w:w="211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 xml:space="preserve">Sipërfaqe totale, </w:t>
            </w:r>
            <w:r w:rsidRPr="00FE77BE">
              <w:rPr>
                <w:sz w:val="16"/>
                <w:lang w:eastAsia="it-IT"/>
              </w:rPr>
              <w:br/>
              <w:t>pyjore + kullosore</w:t>
            </w:r>
          </w:p>
        </w:tc>
        <w:tc>
          <w:tcPr>
            <w:tcW w:w="64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(ha)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591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11,2275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</w:p>
        </w:tc>
      </w:tr>
    </w:tbl>
    <w:p w:rsidR="00FE77BE" w:rsidRPr="00A4229A" w:rsidRDefault="00FE77BE" w:rsidP="00FE77BE">
      <w:pPr>
        <w:pStyle w:val="Paragrafi"/>
        <w:rPr>
          <w:lang w:val="sq-AL"/>
        </w:rPr>
      </w:pPr>
      <w:r w:rsidRPr="00A4229A">
        <w:rPr>
          <w:lang w:val="sq-AL"/>
        </w:rPr>
        <w:tab/>
      </w:r>
    </w:p>
    <w:p w:rsidR="00FE77BE" w:rsidRPr="00A4229A" w:rsidRDefault="00FE77BE" w:rsidP="00FE77BE">
      <w:pPr>
        <w:pStyle w:val="Paragrafi"/>
        <w:rPr>
          <w:lang w:val="sq-AL"/>
        </w:rPr>
      </w:pPr>
    </w:p>
    <w:p w:rsidR="00FE77BE" w:rsidRPr="00A4229A" w:rsidRDefault="00FE77BE" w:rsidP="00FE77BE">
      <w:pPr>
        <w:pStyle w:val="Paragrafi"/>
        <w:rPr>
          <w:lang w:val="sq-AL"/>
        </w:rPr>
      </w:pPr>
    </w:p>
    <w:p w:rsidR="00FE77BE" w:rsidRPr="00A4229A" w:rsidRDefault="00FE77BE" w:rsidP="00FE77BE">
      <w:pPr>
        <w:pStyle w:val="Paragrafi"/>
        <w:rPr>
          <w:lang w:val="sq-AL"/>
        </w:rPr>
      </w:pPr>
    </w:p>
    <w:p w:rsidR="00FE77BE" w:rsidRPr="00A4229A" w:rsidRDefault="00FE77BE" w:rsidP="00FE77BE">
      <w:pPr>
        <w:pStyle w:val="Paragrafi"/>
        <w:rPr>
          <w:lang w:val="sq-AL"/>
        </w:rPr>
      </w:pPr>
    </w:p>
    <w:p w:rsidR="00FE77BE" w:rsidRPr="00A4229A" w:rsidRDefault="00FE77BE" w:rsidP="00FE77BE">
      <w:pPr>
        <w:pStyle w:val="Paragrafi"/>
        <w:rPr>
          <w:lang w:val="sq-AL"/>
        </w:rPr>
      </w:pPr>
    </w:p>
    <w:p w:rsidR="00FE77BE" w:rsidRPr="00A4229A" w:rsidRDefault="00FE77BE" w:rsidP="00FE77BE">
      <w:pPr>
        <w:pStyle w:val="Paragrafi"/>
        <w:rPr>
          <w:lang w:val="sq-AL"/>
        </w:rPr>
      </w:pPr>
    </w:p>
    <w:p w:rsidR="00FE77BE" w:rsidRPr="00A4229A" w:rsidRDefault="00FE77BE" w:rsidP="00FE77BE">
      <w:pPr>
        <w:pStyle w:val="TitulliTitull"/>
        <w:rPr>
          <w:sz w:val="21"/>
          <w:szCs w:val="21"/>
          <w:lang w:val="sq-AL" w:eastAsia="it-IT"/>
        </w:rPr>
      </w:pPr>
      <w:r w:rsidRPr="00A4229A">
        <w:rPr>
          <w:sz w:val="21"/>
          <w:szCs w:val="21"/>
          <w:lang w:val="sq-AL" w:eastAsia="it-IT"/>
        </w:rPr>
        <w:t>Tabela nr. 2</w:t>
      </w:r>
    </w:p>
    <w:p w:rsidR="00FE77BE" w:rsidRPr="00A4229A" w:rsidRDefault="00FE77BE" w:rsidP="00FE77BE">
      <w:pPr>
        <w:pStyle w:val="TitulliTitull"/>
        <w:rPr>
          <w:sz w:val="21"/>
          <w:szCs w:val="21"/>
          <w:lang w:val="sq-AL" w:eastAsia="it-IT"/>
        </w:rPr>
      </w:pPr>
      <w:r w:rsidRPr="00A4229A">
        <w:rPr>
          <w:sz w:val="21"/>
          <w:szCs w:val="21"/>
          <w:lang w:val="sq-AL" w:eastAsia="it-IT"/>
        </w:rPr>
        <w:t xml:space="preserve"> Sipërfaqet e nevojshme për sheshet e përkohshme për ndërtimin e objekteve të centraleve</w:t>
      </w:r>
    </w:p>
    <w:p w:rsidR="00FE77BE" w:rsidRPr="00A4229A" w:rsidRDefault="00FE77BE" w:rsidP="00FE77BE">
      <w:pPr>
        <w:pStyle w:val="TitulliTitull"/>
        <w:rPr>
          <w:sz w:val="21"/>
          <w:szCs w:val="21"/>
          <w:lang w:val="sq-AL"/>
        </w:rPr>
      </w:pPr>
    </w:p>
    <w:tbl>
      <w:tblPr>
        <w:tblW w:w="5348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7"/>
        <w:gridCol w:w="2577"/>
        <w:gridCol w:w="1082"/>
        <w:gridCol w:w="1080"/>
        <w:gridCol w:w="1388"/>
        <w:gridCol w:w="2767"/>
      </w:tblGrid>
      <w:tr w:rsidR="00FE77BE" w:rsidRPr="00FE77BE" w:rsidTr="00FE77BE">
        <w:trPr>
          <w:trHeight w:val="31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jc w:val="center"/>
              <w:rPr>
                <w:b/>
                <w:sz w:val="16"/>
                <w:szCs w:val="16"/>
                <w:lang w:eastAsia="it-IT"/>
              </w:rPr>
            </w:pPr>
            <w:r w:rsidRPr="00FE77BE">
              <w:rPr>
                <w:b/>
                <w:sz w:val="16"/>
                <w:szCs w:val="16"/>
                <w:lang w:eastAsia="it-IT"/>
              </w:rPr>
              <w:t>SIPËRFAQE TE FONDIT PYJORE</w:t>
            </w:r>
          </w:p>
        </w:tc>
      </w:tr>
      <w:tr w:rsidR="00FE77BE" w:rsidRPr="00FE77BE" w:rsidTr="00FE77BE">
        <w:trPr>
          <w:trHeight w:val="1170"/>
          <w:jc w:val="center"/>
        </w:trPr>
        <w:tc>
          <w:tcPr>
            <w:tcW w:w="265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Nr.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Ekonomia pyjore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Parcela nr.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Zëri kadastral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Sipërfaqja e zënë                  (hektarë)</w:t>
            </w:r>
          </w:p>
        </w:tc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Objekti</w:t>
            </w:r>
          </w:p>
        </w:tc>
      </w:tr>
      <w:tr w:rsidR="00FE77BE" w:rsidRPr="00FE77BE" w:rsidTr="00FE77BE">
        <w:trPr>
          <w:trHeight w:val="175"/>
          <w:jc w:val="center"/>
        </w:trPr>
        <w:tc>
          <w:tcPr>
            <w:tcW w:w="26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EP Brinjat e Fushës Karaburun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30 / c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pyll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0,0305</w:t>
            </w:r>
          </w:p>
        </w:tc>
        <w:tc>
          <w:tcPr>
            <w:tcW w:w="14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49"/>
          <w:jc w:val="center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EP Brinjat e Fushës Karaburun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59 / 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pyll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0,0113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9"/>
          <w:jc w:val="center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EP Brinjat e Fushës Karaburun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58 / 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pyll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0,1266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72"/>
          <w:jc w:val="center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EP Brinjat e Fushës Karaburun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pyll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0,1266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45"/>
          <w:jc w:val="center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EP Kume - Shashicë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pyll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0,1299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91"/>
          <w:jc w:val="center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EP Parku Pyjor Llogara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kullotë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0,3708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65"/>
          <w:jc w:val="center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EP Parku Pyjor Llogara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29 / 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kullotë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0,1266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11"/>
          <w:jc w:val="center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EP Ana e Detit - Palas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pyll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0,2532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99"/>
          <w:jc w:val="center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color w:val="003366"/>
                <w:sz w:val="16"/>
                <w:szCs w:val="16"/>
                <w:lang w:eastAsia="it-IT"/>
              </w:rPr>
            </w:pPr>
            <w:r w:rsidRPr="00FE77BE">
              <w:rPr>
                <w:color w:val="003366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EP Ana e Detit - Palas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31 / 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pyll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0,1266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 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37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Sipërfaqe totale ekonomi pyjore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(ha)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  <w:r w:rsidRPr="00FE77BE">
              <w:rPr>
                <w:sz w:val="16"/>
                <w:szCs w:val="16"/>
                <w:lang w:eastAsia="it-IT"/>
              </w:rPr>
              <w:t>1,3021</w:t>
            </w:r>
          </w:p>
        </w:tc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szCs w:val="16"/>
                <w:lang w:eastAsia="it-IT"/>
              </w:rPr>
            </w:pPr>
          </w:p>
        </w:tc>
      </w:tr>
    </w:tbl>
    <w:p w:rsidR="00FE77BE" w:rsidRPr="00A4229A" w:rsidRDefault="00FE77BE" w:rsidP="00FE77BE">
      <w:pPr>
        <w:pStyle w:val="Paragrafi"/>
        <w:rPr>
          <w:lang w:val="sq-AL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"/>
        <w:gridCol w:w="2439"/>
        <w:gridCol w:w="997"/>
        <w:gridCol w:w="1219"/>
        <w:gridCol w:w="1229"/>
        <w:gridCol w:w="2497"/>
      </w:tblGrid>
      <w:tr w:rsidR="00FE77BE" w:rsidRPr="00FE77BE" w:rsidTr="00FE77BE">
        <w:trPr>
          <w:trHeight w:val="30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jc w:val="center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SIPËRFAQE TË FONDIT KULLOSORE</w:t>
            </w:r>
          </w:p>
        </w:tc>
      </w:tr>
      <w:tr w:rsidR="00FE77BE" w:rsidRPr="00FE77BE" w:rsidTr="00FE77BE">
        <w:trPr>
          <w:trHeight w:val="562"/>
          <w:jc w:val="center"/>
        </w:trPr>
        <w:tc>
          <w:tcPr>
            <w:tcW w:w="2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Nr.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Ekonomia kullosore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Parcela nr.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Zëri kadastral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Sipërfaqja e zënë                  (hektarë)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Objekti</w:t>
            </w:r>
          </w:p>
        </w:tc>
      </w:tr>
      <w:tr w:rsidR="00FE77BE" w:rsidRPr="00FE77BE" w:rsidTr="00FE77BE">
        <w:trPr>
          <w:trHeight w:val="203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 / B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0,0942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5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0,2198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09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0,8682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41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0,1266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15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1,0038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3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0,3798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08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12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0,7596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9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0,3798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27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20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0,4553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1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10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24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0,9033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1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26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0,0795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24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12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1,1112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11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13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41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0,4077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2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14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49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0,2778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04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15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51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0,4167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5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0,1389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0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0,219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41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18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0,0588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15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19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0,1389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3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20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0,1389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21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21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1,1112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9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22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0,2688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00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23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0,4167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45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24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0,4167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 xml:space="preserve">shesh përdorim i përkohshëm </w:t>
            </w:r>
          </w:p>
        </w:tc>
      </w:tr>
      <w:tr w:rsidR="00FE77BE" w:rsidRPr="00FE77BE" w:rsidTr="00FE77BE">
        <w:trPr>
          <w:trHeight w:val="219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25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0,9633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 xml:space="preserve">shesh përdorim i përkohshëm </w:t>
            </w:r>
          </w:p>
        </w:tc>
      </w:tr>
      <w:tr w:rsidR="00FE77BE" w:rsidRPr="00FE77BE" w:rsidTr="00FE77BE">
        <w:trPr>
          <w:trHeight w:val="137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26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14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0,4077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25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27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15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0,4294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0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28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0,1389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03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29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0,4167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5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19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0,2651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82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31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21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0,1389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40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32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0,5556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33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31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0,2778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17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34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0,2778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90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35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34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0,2778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6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36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36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0,2778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11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37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1,0038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28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38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0,1096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16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39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0,9032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3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40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1,3746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07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41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10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1,2776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42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1,4681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71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43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0,4974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59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44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21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0,7416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234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45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0,3888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137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46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27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0,3708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  <w:tr w:rsidR="00FE77BE" w:rsidRPr="00FE77BE" w:rsidTr="00FE77BE">
        <w:trPr>
          <w:trHeight w:val="69"/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47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1,1394</w:t>
            </w:r>
          </w:p>
        </w:tc>
        <w:tc>
          <w:tcPr>
            <w:tcW w:w="142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shesh përdorim i përkohshëm</w:t>
            </w:r>
          </w:p>
        </w:tc>
      </w:tr>
    </w:tbl>
    <w:p w:rsidR="00FE77BE" w:rsidRPr="00A4229A" w:rsidRDefault="00FE77BE" w:rsidP="00FE77BE">
      <w:pPr>
        <w:pStyle w:val="Paragrafi"/>
        <w:rPr>
          <w:lang w:val="sq-AL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"/>
        <w:gridCol w:w="3266"/>
        <w:gridCol w:w="1336"/>
        <w:gridCol w:w="1633"/>
        <w:gridCol w:w="2011"/>
      </w:tblGrid>
      <w:tr w:rsidR="00FE77BE" w:rsidRPr="00FE77BE" w:rsidTr="00FE77BE">
        <w:trPr>
          <w:trHeight w:val="250"/>
          <w:jc w:val="center"/>
        </w:trPr>
        <w:tc>
          <w:tcPr>
            <w:tcW w:w="3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18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Sipërfaqe totale ekonomi kullosore</w:t>
            </w:r>
          </w:p>
        </w:tc>
        <w:tc>
          <w:tcPr>
            <w:tcW w:w="76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(ha)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114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24,0929</w:t>
            </w:r>
          </w:p>
        </w:tc>
      </w:tr>
      <w:tr w:rsidR="00FE77BE" w:rsidRPr="00FE77BE" w:rsidTr="00FE77BE">
        <w:trPr>
          <w:trHeight w:val="337"/>
          <w:jc w:val="center"/>
        </w:trPr>
        <w:tc>
          <w:tcPr>
            <w:tcW w:w="3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</w:p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 xml:space="preserve">Sipërfaqe totale </w:t>
            </w:r>
            <w:r w:rsidRPr="00FE77BE">
              <w:rPr>
                <w:sz w:val="16"/>
                <w:lang w:eastAsia="it-IT"/>
              </w:rPr>
              <w:br/>
              <w:t>pyjore + kullosore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(ha)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114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25,3950</w:t>
            </w:r>
          </w:p>
        </w:tc>
      </w:tr>
    </w:tbl>
    <w:p w:rsidR="00FE77BE" w:rsidRPr="00A4229A" w:rsidRDefault="00FE77BE" w:rsidP="00FE77BE">
      <w:pPr>
        <w:pStyle w:val="Paragrafi"/>
        <w:rPr>
          <w:lang w:val="sq-AL"/>
        </w:rPr>
      </w:pPr>
    </w:p>
    <w:p w:rsidR="00FE77BE" w:rsidRPr="00A4229A" w:rsidRDefault="00FE77BE" w:rsidP="00FE77BE">
      <w:pPr>
        <w:pStyle w:val="TitulliTitull"/>
        <w:rPr>
          <w:sz w:val="21"/>
          <w:szCs w:val="21"/>
          <w:lang w:val="sq-AL" w:eastAsia="it-IT"/>
        </w:rPr>
      </w:pPr>
      <w:r w:rsidRPr="00A4229A">
        <w:rPr>
          <w:sz w:val="21"/>
          <w:szCs w:val="21"/>
          <w:lang w:val="sq-AL" w:eastAsia="it-IT"/>
        </w:rPr>
        <w:t>Tabela nr.3</w:t>
      </w:r>
    </w:p>
    <w:p w:rsidR="00FE77BE" w:rsidRPr="00A4229A" w:rsidRDefault="00FE77BE" w:rsidP="00FE77BE">
      <w:pPr>
        <w:pStyle w:val="TitulliTitull"/>
        <w:rPr>
          <w:sz w:val="21"/>
          <w:szCs w:val="21"/>
          <w:lang w:val="sq-AL" w:eastAsia="it-IT"/>
        </w:rPr>
      </w:pPr>
      <w:r w:rsidRPr="00A4229A">
        <w:rPr>
          <w:sz w:val="21"/>
          <w:szCs w:val="21"/>
          <w:lang w:val="sq-AL" w:eastAsia="it-IT"/>
        </w:rPr>
        <w:t xml:space="preserve"> Sipërfaqet e nevojshme që do të përdoren për ndërtimin e infrastrukturës rrugore</w:t>
      </w:r>
    </w:p>
    <w:p w:rsidR="00FE77BE" w:rsidRPr="00A4229A" w:rsidRDefault="00FE77BE" w:rsidP="00FE77BE">
      <w:pPr>
        <w:pStyle w:val="TitulliTitull"/>
        <w:rPr>
          <w:sz w:val="14"/>
          <w:szCs w:val="21"/>
          <w:lang w:val="sq-AL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"/>
        <w:gridCol w:w="2244"/>
        <w:gridCol w:w="557"/>
        <w:gridCol w:w="660"/>
        <w:gridCol w:w="332"/>
        <w:gridCol w:w="883"/>
        <w:gridCol w:w="269"/>
        <w:gridCol w:w="1226"/>
        <w:gridCol w:w="33"/>
        <w:gridCol w:w="2188"/>
      </w:tblGrid>
      <w:tr w:rsidR="00FE77BE" w:rsidRPr="00FE77BE" w:rsidTr="00FE77BE">
        <w:trPr>
          <w:trHeight w:val="315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jc w:val="center"/>
              <w:rPr>
                <w:b/>
                <w:sz w:val="16"/>
                <w:lang w:eastAsia="it-IT"/>
              </w:rPr>
            </w:pPr>
            <w:r w:rsidRPr="00FE77BE">
              <w:rPr>
                <w:b/>
                <w:sz w:val="16"/>
                <w:lang w:eastAsia="it-IT"/>
              </w:rPr>
              <w:t>SIPËRFAQE TE FONDIT PYJOR</w:t>
            </w:r>
          </w:p>
        </w:tc>
      </w:tr>
      <w:tr w:rsidR="00FE77BE" w:rsidRPr="00FE77BE" w:rsidTr="00FE77BE">
        <w:trPr>
          <w:trHeight w:val="591"/>
          <w:jc w:val="center"/>
        </w:trPr>
        <w:tc>
          <w:tcPr>
            <w:tcW w:w="22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Nr.</w:t>
            </w:r>
          </w:p>
        </w:tc>
        <w:tc>
          <w:tcPr>
            <w:tcW w:w="15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Ekonomia pyjore</w:t>
            </w:r>
          </w:p>
        </w:tc>
        <w:tc>
          <w:tcPr>
            <w:tcW w:w="5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Parcela nr.</w:t>
            </w:r>
          </w:p>
        </w:tc>
        <w:tc>
          <w:tcPr>
            <w:tcW w:w="6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Zëri kadastral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Sipërfaqja e zënë                  (hektarë)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Objekti</w:t>
            </w:r>
          </w:p>
        </w:tc>
      </w:tr>
      <w:tr w:rsidR="00FE77BE" w:rsidRPr="00FE77BE" w:rsidTr="00FE77BE">
        <w:trPr>
          <w:trHeight w:val="131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</w:t>
            </w:r>
          </w:p>
        </w:tc>
        <w:tc>
          <w:tcPr>
            <w:tcW w:w="15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Kume - Shashicë</w:t>
            </w:r>
          </w:p>
        </w:tc>
        <w:tc>
          <w:tcPr>
            <w:tcW w:w="5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25</w:t>
            </w:r>
          </w:p>
        </w:tc>
        <w:tc>
          <w:tcPr>
            <w:tcW w:w="6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1,1006</w:t>
            </w:r>
          </w:p>
        </w:tc>
        <w:tc>
          <w:tcPr>
            <w:tcW w:w="1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205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Kume - Shashicë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25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0,3332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137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Kume - Shashicë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26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0,4539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69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15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Parku Pyjor Llogara</w:t>
            </w:r>
          </w:p>
        </w:tc>
        <w:tc>
          <w:tcPr>
            <w:tcW w:w="5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19</w:t>
            </w:r>
          </w:p>
        </w:tc>
        <w:tc>
          <w:tcPr>
            <w:tcW w:w="6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1,0967</w:t>
            </w:r>
          </w:p>
        </w:tc>
        <w:tc>
          <w:tcPr>
            <w:tcW w:w="1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133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Parku Pyjor Llogara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29 / a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0,9696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193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Ana e Detit - Palas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0,5284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Ana e Detit - Palas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31 / a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0,6157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28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0,0262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29 / c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0,0169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10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 / c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0,2352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46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0,633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12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55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0,5031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13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59 / a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1,956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14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58 / c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0,3083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15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60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0,7816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Brinjat e fushës Karaburun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75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0,2387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159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EP  Ana e Detit - Palas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66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pyll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0,9177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1595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Sipërfaqe totale, ekonomi pyjore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(ha)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10,7148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SIPËRFAQE TË FONDIT KULLOSOR</w:t>
            </w:r>
          </w:p>
        </w:tc>
      </w:tr>
      <w:tr w:rsidR="00FE77BE" w:rsidRPr="00FE77BE" w:rsidTr="00FE77BE">
        <w:trPr>
          <w:trHeight w:val="610"/>
          <w:jc w:val="center"/>
        </w:trPr>
        <w:tc>
          <w:tcPr>
            <w:tcW w:w="22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Nr.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Ekonomia kullosore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Parcela nr.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Zëri kadastral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Sipërfaqja e zënë                  (hektarë)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Objekti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 / b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0,0259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0,9882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3,5554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0,4585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5,6095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1,0673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3,3207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1,0776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20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1,9537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10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24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7,4442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25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0,6422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12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26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0,9082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13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29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1,6837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14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1,3385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15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31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0,8999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33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0,997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1,6419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18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35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3,5005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19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38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0,0647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20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40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1,7831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21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5,723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22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Karaburun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42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2,4106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23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40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8,7071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24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41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4,9669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25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49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1,5246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26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Dukat - Tragjas - Shashicë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6,0211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27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1,5646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28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0,1042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29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1,467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271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3,3748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31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0,2534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0,4187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33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8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7,9813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34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1,953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35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2,2333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36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1,5785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37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13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3,6064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38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14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2,0576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39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15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2,1696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40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0,2916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41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4,0123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42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19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0,9955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43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0,2143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44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6,2746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45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0,9656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46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33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4,1868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47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5,7336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48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Shashicë - Gumenicë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36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1,8278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49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9,2872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50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0,2258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51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3,544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52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5,7688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53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10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4,3705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54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5,1905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55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2,5569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56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21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3,329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57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22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4,278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58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27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3,1258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  <w:tr w:rsidR="00FE77BE" w:rsidRPr="00FE77BE" w:rsidTr="00FE77BE">
        <w:trPr>
          <w:trHeight w:val="300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59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EK Ana e Detit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30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kullotë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4,0977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infrastrukturë rrugore</w:t>
            </w:r>
          </w:p>
        </w:tc>
      </w:tr>
    </w:tbl>
    <w:p w:rsidR="00FE77BE" w:rsidRPr="009028E4" w:rsidRDefault="00FE77BE" w:rsidP="009028E4">
      <w:pPr>
        <w:pStyle w:val="Paragrafi"/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"/>
        <w:gridCol w:w="3624"/>
        <w:gridCol w:w="1305"/>
        <w:gridCol w:w="1594"/>
        <w:gridCol w:w="1738"/>
      </w:tblGrid>
      <w:tr w:rsidR="00FE77BE" w:rsidRPr="00FE77BE" w:rsidTr="00FE77BE">
        <w:trPr>
          <w:trHeight w:val="300"/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206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Sipërfaqe totale,  ekonomi kullosore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(ha)</w:t>
            </w:r>
          </w:p>
        </w:tc>
        <w:tc>
          <w:tcPr>
            <w:tcW w:w="9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99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167,3527</w:t>
            </w:r>
          </w:p>
        </w:tc>
      </w:tr>
      <w:tr w:rsidR="00FE77BE" w:rsidRPr="00FE77BE" w:rsidTr="00FE77BE">
        <w:trPr>
          <w:trHeight w:val="205"/>
          <w:jc w:val="center"/>
        </w:trPr>
        <w:tc>
          <w:tcPr>
            <w:tcW w:w="2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</w:p>
        </w:tc>
        <w:tc>
          <w:tcPr>
            <w:tcW w:w="4705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</w:tr>
      <w:tr w:rsidR="00FE77BE" w:rsidRPr="00FE77BE" w:rsidTr="00FE77BE">
        <w:trPr>
          <w:trHeight w:val="259"/>
          <w:jc w:val="center"/>
        </w:trPr>
        <w:tc>
          <w:tcPr>
            <w:tcW w:w="2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</w:p>
        </w:tc>
        <w:tc>
          <w:tcPr>
            <w:tcW w:w="206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 xml:space="preserve">Sipërfaqe totale </w:t>
            </w:r>
            <w:r w:rsidRPr="00FE77BE">
              <w:rPr>
                <w:sz w:val="16"/>
                <w:lang w:eastAsia="it-IT"/>
              </w:rPr>
              <w:br/>
              <w:t>pyjore + kullosore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(ha)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 </w:t>
            </w:r>
          </w:p>
        </w:tc>
        <w:tc>
          <w:tcPr>
            <w:tcW w:w="99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E77BE" w:rsidRPr="00FE77BE" w:rsidRDefault="00FE77BE" w:rsidP="00FE77BE">
            <w:pPr>
              <w:pStyle w:val="Tabele"/>
              <w:rPr>
                <w:sz w:val="16"/>
                <w:lang w:eastAsia="it-IT"/>
              </w:rPr>
            </w:pPr>
            <w:r w:rsidRPr="00FE77BE">
              <w:rPr>
                <w:sz w:val="16"/>
                <w:lang w:eastAsia="it-IT"/>
              </w:rPr>
              <w:t>178,0675</w:t>
            </w:r>
          </w:p>
        </w:tc>
      </w:tr>
    </w:tbl>
    <w:p w:rsidR="00FE77BE" w:rsidRPr="00A4229A" w:rsidRDefault="00FE77BE" w:rsidP="00FE77BE">
      <w:pPr>
        <w:pStyle w:val="Paragrafi"/>
        <w:ind w:firstLine="0"/>
        <w:jc w:val="center"/>
        <w:rPr>
          <w:sz w:val="21"/>
          <w:szCs w:val="21"/>
          <w:lang w:val="sq-AL"/>
        </w:rPr>
      </w:pPr>
    </w:p>
    <w:p w:rsidR="00FE77BE" w:rsidRPr="00A4229A" w:rsidRDefault="00FE77BE" w:rsidP="00FE77BE">
      <w:pPr>
        <w:pStyle w:val="Paragrafi"/>
        <w:ind w:firstLine="0"/>
        <w:rPr>
          <w:sz w:val="21"/>
          <w:szCs w:val="21"/>
          <w:lang w:val="sq-AL"/>
        </w:rPr>
      </w:pPr>
    </w:p>
    <w:p w:rsidR="00FE77BE" w:rsidRDefault="000C75DE" w:rsidP="00AC403A">
      <w:pPr>
        <w:pStyle w:val="Figure"/>
        <w:rPr>
          <w:lang w:val="sq-AL"/>
        </w:rPr>
      </w:pPr>
      <w:r w:rsidRPr="003F0294">
        <w:rPr>
          <w:noProof/>
          <w:lang w:val="en-GB" w:eastAsia="en-GB"/>
        </w:rPr>
        <w:drawing>
          <wp:inline distT="0" distB="0" distL="0" distR="0">
            <wp:extent cx="5638800" cy="8115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7" r="3180" b="3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77B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hyrj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6244BE4"/>
    <w:multiLevelType w:val="hybridMultilevel"/>
    <w:tmpl w:val="F0E89FCC"/>
    <w:lvl w:ilvl="0" w:tplc="07FED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77BE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C75DE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4F1B"/>
    <w:rsid w:val="00645761"/>
    <w:rsid w:val="00650262"/>
    <w:rsid w:val="00653C78"/>
    <w:rsid w:val="00665C19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028E4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C403A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E77BE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A9A4DF-E11D-42AF-9618-6A5F09AC8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7BE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2"/>
    <w:qFormat/>
    <w:rsid w:val="00FE77BE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FE77BE"/>
    <w:pPr>
      <w:spacing w:before="200" w:after="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qFormat/>
    <w:rsid w:val="00FE77BE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FE77BE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FE77BE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FE77BE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FE77BE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FE77BE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basedOn w:val="DefaultParagraphFont"/>
    <w:link w:val="Heading1"/>
    <w:rsid w:val="00FE77BE"/>
    <w:rPr>
      <w:rFonts w:ascii="Arial" w:hAnsi="Arial" w:cs="Arial"/>
      <w:b/>
      <w:bCs/>
      <w:noProof/>
      <w:kern w:val="32"/>
      <w:sz w:val="32"/>
      <w:szCs w:val="32"/>
      <w:lang w:val="sq-AL" w:eastAsia="en-US" w:bidi="ar-SA"/>
    </w:rPr>
  </w:style>
  <w:style w:type="character" w:customStyle="1" w:styleId="Heading2Char2">
    <w:name w:val="Heading 2 Char2"/>
    <w:basedOn w:val="DefaultParagraphFont"/>
    <w:link w:val="Heading2"/>
    <w:rsid w:val="00FE77BE"/>
    <w:rPr>
      <w:rFonts w:ascii="Cambria" w:hAnsi="Cambria"/>
      <w:b/>
      <w:bCs/>
      <w:sz w:val="26"/>
      <w:szCs w:val="26"/>
      <w:lang w:val="en-US" w:eastAsia="en-US" w:bidi="en-US"/>
    </w:rPr>
  </w:style>
  <w:style w:type="character" w:customStyle="1" w:styleId="Heading3Char1">
    <w:name w:val="Heading 3 Char1"/>
    <w:basedOn w:val="DefaultParagraphFont"/>
    <w:link w:val="Heading3"/>
    <w:rsid w:val="00FE77BE"/>
    <w:rPr>
      <w:rFonts w:ascii="Cambria" w:hAnsi="Cambria"/>
      <w:b/>
      <w:bCs/>
      <w:sz w:val="22"/>
      <w:szCs w:val="22"/>
      <w:lang w:val="en-US" w:eastAsia="en-US" w:bidi="en-US"/>
    </w:rPr>
  </w:style>
  <w:style w:type="character" w:customStyle="1" w:styleId="Heading5Char">
    <w:name w:val="Heading 5 Char"/>
    <w:basedOn w:val="DefaultParagraphFont"/>
    <w:link w:val="Heading5"/>
    <w:semiHidden/>
    <w:rsid w:val="00FE77BE"/>
    <w:rPr>
      <w:rFonts w:ascii="Cambria" w:hAnsi="Cambria"/>
      <w:b/>
      <w:bCs/>
      <w:color w:val="7F7F7F"/>
      <w:sz w:val="22"/>
      <w:szCs w:val="22"/>
      <w:lang w:val="en-US" w:eastAsia="en-US" w:bidi="en-US"/>
    </w:rPr>
  </w:style>
  <w:style w:type="character" w:customStyle="1" w:styleId="Heading6Char">
    <w:name w:val="Heading 6 Char"/>
    <w:basedOn w:val="DefaultParagraphFont"/>
    <w:link w:val="Heading6"/>
    <w:semiHidden/>
    <w:rsid w:val="00FE77BE"/>
    <w:rPr>
      <w:rFonts w:ascii="Cambria" w:hAnsi="Cambria"/>
      <w:b/>
      <w:bCs/>
      <w:i/>
      <w:iCs/>
      <w:color w:val="7F7F7F"/>
      <w:sz w:val="22"/>
      <w:szCs w:val="22"/>
      <w:lang w:val="en-US" w:eastAsia="en-US" w:bidi="en-US"/>
    </w:rPr>
  </w:style>
  <w:style w:type="character" w:customStyle="1" w:styleId="Heading7Char">
    <w:name w:val="Heading 7 Char"/>
    <w:basedOn w:val="DefaultParagraphFont"/>
    <w:link w:val="Heading7"/>
    <w:semiHidden/>
    <w:rsid w:val="00FE77BE"/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Heading8Char">
    <w:name w:val="Heading 8 Char"/>
    <w:basedOn w:val="DefaultParagraphFont"/>
    <w:link w:val="Heading8"/>
    <w:semiHidden/>
    <w:rsid w:val="00FE77BE"/>
    <w:rPr>
      <w:rFonts w:ascii="Cambria" w:hAnsi="Cambria"/>
      <w:lang w:val="en-US" w:eastAsia="en-US" w:bidi="en-US"/>
    </w:rPr>
  </w:style>
  <w:style w:type="character" w:customStyle="1" w:styleId="Heading9Char">
    <w:name w:val="Heading 9 Char"/>
    <w:basedOn w:val="DefaultParagraphFont"/>
    <w:link w:val="Heading9"/>
    <w:semiHidden/>
    <w:rsid w:val="00FE77BE"/>
    <w:rPr>
      <w:rFonts w:ascii="Cambria" w:hAnsi="Cambria"/>
      <w:i/>
      <w:iCs/>
      <w:spacing w:val="5"/>
      <w:lang w:val="en-US" w:eastAsia="en-US" w:bidi="en-US"/>
    </w:rPr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B20E3F"/>
    <w:rPr>
      <w:rFonts w:ascii="Trebuchet MS" w:eastAsia="MS Mincho" w:hAnsi="Trebuchet MS"/>
      <w:lang w:val="en-GB" w:eastAsia="en-US" w:bidi="ar-SA"/>
    </w:rPr>
  </w:style>
  <w:style w:type="paragraph" w:styleId="FootnoteText">
    <w:name w:val="footnote text"/>
    <w:basedOn w:val="Normal"/>
    <w:link w:val="FootnoteTextChar"/>
    <w:semiHidden/>
    <w:unhideWhenUsed/>
    <w:rsid w:val="00FE77BE"/>
    <w:rPr>
      <w:rFonts w:ascii="Trebuchet MS" w:eastAsia="MS Mincho" w:hAnsi="Trebuchet MS"/>
      <w:sz w:val="20"/>
      <w:szCs w:val="20"/>
      <w:lang w:val="en-GB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FE77B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FE77B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FE77BE"/>
    <w:rPr>
      <w:rFonts w:ascii="CG Times" w:hAnsi="CG Times"/>
      <w:b/>
      <w:sz w:val="22"/>
      <w:lang w:val="en-GB" w:eastAsia="en-US" w:bidi="ar-SA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E77BE"/>
    <w:rPr>
      <w:rFonts w:ascii="CG Times" w:hAnsi="CG Times"/>
      <w:sz w:val="22"/>
      <w:lang w:val="en-US" w:eastAsia="en-US" w:bidi="ar-SA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link w:val="BodyTextChar"/>
    <w:rsid w:val="00B20E3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E77BE"/>
    <w:rPr>
      <w:noProof/>
      <w:sz w:val="24"/>
      <w:szCs w:val="24"/>
      <w:lang w:val="sq-AL" w:eastAsia="en-US" w:bidi="ar-SA"/>
    </w:r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E77B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/>
    </w:rPr>
  </w:style>
  <w:style w:type="paragraph" w:customStyle="1" w:styleId="Char0">
    <w:name w:val="Char"/>
    <w:basedOn w:val="Normal"/>
    <w:rsid w:val="00FE77B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FE77BE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FE77BE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FE77B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rsid w:val="00FE77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E77BE"/>
    <w:rPr>
      <w:rFonts w:ascii="Calibri" w:eastAsia="Calibri" w:hAnsi="Calibri"/>
      <w:sz w:val="22"/>
      <w:szCs w:val="22"/>
      <w:lang w:val="en-US" w:eastAsia="en-US" w:bidi="en-US"/>
    </w:rPr>
  </w:style>
  <w:style w:type="paragraph" w:styleId="ListParagraph">
    <w:name w:val="List Paragraph"/>
    <w:basedOn w:val="Normal"/>
    <w:qFormat/>
    <w:rsid w:val="00FE77BE"/>
    <w:pPr>
      <w:ind w:left="720"/>
      <w:contextualSpacing/>
    </w:pPr>
  </w:style>
  <w:style w:type="character" w:styleId="PageNumber">
    <w:name w:val="page number"/>
    <w:basedOn w:val="DefaultParagraphFont"/>
    <w:rsid w:val="00FE77BE"/>
  </w:style>
  <w:style w:type="character" w:customStyle="1" w:styleId="Heading2Char1">
    <w:name w:val="Heading 2 Char1"/>
    <w:basedOn w:val="DefaultParagraphFont"/>
    <w:semiHidden/>
    <w:rsid w:val="00FE77B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next w:val="Normal"/>
    <w:link w:val="TitleChar"/>
    <w:qFormat/>
    <w:rsid w:val="00FE77BE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E77BE"/>
    <w:rPr>
      <w:rFonts w:ascii="Cambria" w:hAnsi="Cambria"/>
      <w:spacing w:val="5"/>
      <w:sz w:val="52"/>
      <w:szCs w:val="52"/>
      <w:lang w:val="en-US" w:eastAsia="en-US" w:bidi="en-US"/>
    </w:rPr>
  </w:style>
  <w:style w:type="paragraph" w:styleId="Subtitle">
    <w:name w:val="Subtitle"/>
    <w:basedOn w:val="Normal"/>
    <w:next w:val="Normal"/>
    <w:link w:val="SubtitleChar"/>
    <w:qFormat/>
    <w:rsid w:val="00FE77BE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FE77BE"/>
    <w:rPr>
      <w:rFonts w:ascii="Cambria" w:hAnsi="Cambria"/>
      <w:i/>
      <w:iCs/>
      <w:spacing w:val="13"/>
      <w:sz w:val="24"/>
      <w:szCs w:val="24"/>
      <w:lang w:val="en-US" w:eastAsia="en-US" w:bidi="en-US"/>
    </w:rPr>
  </w:style>
  <w:style w:type="character" w:styleId="Strong">
    <w:name w:val="Strong"/>
    <w:qFormat/>
    <w:rsid w:val="00FE77BE"/>
    <w:rPr>
      <w:b/>
      <w:bCs/>
    </w:rPr>
  </w:style>
  <w:style w:type="character" w:styleId="Emphasis">
    <w:name w:val="Emphasis"/>
    <w:qFormat/>
    <w:rsid w:val="00FE77B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FE77B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qFormat/>
    <w:rsid w:val="00FE77BE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FE77BE"/>
    <w:rPr>
      <w:rFonts w:ascii="Calibri" w:eastAsia="Calibri" w:hAnsi="Calibri"/>
      <w:i/>
      <w:iCs/>
      <w:sz w:val="22"/>
      <w:szCs w:val="22"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FE77B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rsid w:val="00FE77BE"/>
    <w:rPr>
      <w:rFonts w:ascii="Calibri" w:eastAsia="Calibri" w:hAnsi="Calibri"/>
      <w:b/>
      <w:bCs/>
      <w:i/>
      <w:iCs/>
      <w:sz w:val="22"/>
      <w:szCs w:val="22"/>
      <w:lang w:val="en-US" w:eastAsia="en-US" w:bidi="en-US"/>
    </w:rPr>
  </w:style>
  <w:style w:type="character" w:styleId="SubtleEmphasis">
    <w:name w:val="Subtle Emphasis"/>
    <w:qFormat/>
    <w:rsid w:val="00FE77BE"/>
    <w:rPr>
      <w:i/>
      <w:iCs/>
    </w:rPr>
  </w:style>
  <w:style w:type="character" w:styleId="IntenseEmphasis">
    <w:name w:val="Intense Emphasis"/>
    <w:qFormat/>
    <w:rsid w:val="00FE77BE"/>
    <w:rPr>
      <w:b/>
      <w:bCs/>
    </w:rPr>
  </w:style>
  <w:style w:type="character" w:styleId="SubtleReference">
    <w:name w:val="Subtle Reference"/>
    <w:qFormat/>
    <w:rsid w:val="00FE77BE"/>
    <w:rPr>
      <w:smallCaps/>
    </w:rPr>
  </w:style>
  <w:style w:type="character" w:styleId="IntenseReference">
    <w:name w:val="Intense Reference"/>
    <w:qFormat/>
    <w:rsid w:val="00FE77BE"/>
    <w:rPr>
      <w:smallCaps/>
      <w:spacing w:val="5"/>
      <w:u w:val="single"/>
    </w:rPr>
  </w:style>
  <w:style w:type="character" w:styleId="BookTitle">
    <w:name w:val="Book Title"/>
    <w:qFormat/>
    <w:rsid w:val="00FE77BE"/>
    <w:rPr>
      <w:i/>
      <w:iCs/>
      <w:smallCaps/>
      <w:spacing w:val="5"/>
    </w:rPr>
  </w:style>
  <w:style w:type="paragraph" w:styleId="EndnoteText">
    <w:name w:val="endnote text"/>
    <w:basedOn w:val="Normal"/>
    <w:link w:val="EndnoteTextChar"/>
    <w:semiHidden/>
    <w:unhideWhenUsed/>
    <w:rsid w:val="00FE77B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FE77BE"/>
    <w:rPr>
      <w:rFonts w:ascii="Calibri" w:eastAsia="Calibri" w:hAnsi="Calibri"/>
      <w:lang w:val="en-US" w:eastAsia="en-US" w:bidi="en-US"/>
    </w:rPr>
  </w:style>
  <w:style w:type="character" w:styleId="EndnoteReference">
    <w:name w:val="endnote reference"/>
    <w:basedOn w:val="DefaultParagraphFont"/>
    <w:semiHidden/>
    <w:unhideWhenUsed/>
    <w:rsid w:val="00FE77BE"/>
    <w:rPr>
      <w:vertAlign w:val="superscript"/>
    </w:rPr>
  </w:style>
  <w:style w:type="character" w:styleId="FootnoteReference">
    <w:name w:val="footnote reference"/>
    <w:basedOn w:val="DefaultParagraphFont"/>
    <w:semiHidden/>
    <w:unhideWhenUsed/>
    <w:rsid w:val="00FE77BE"/>
    <w:rPr>
      <w:vertAlign w:val="superscript"/>
    </w:rPr>
  </w:style>
  <w:style w:type="character" w:customStyle="1" w:styleId="apple-style-span">
    <w:name w:val="apple-style-span"/>
    <w:basedOn w:val="DefaultParagraphFont"/>
    <w:rsid w:val="00FE77BE"/>
  </w:style>
  <w:style w:type="paragraph" w:styleId="NormalWeb">
    <w:name w:val="Normal (Web)"/>
    <w:basedOn w:val="Normal"/>
    <w:unhideWhenUsed/>
    <w:rsid w:val="00FE77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Header">
    <w:name w:val="header"/>
    <w:basedOn w:val="Normal"/>
    <w:link w:val="HeaderChar"/>
    <w:semiHidden/>
    <w:unhideWhenUsed/>
    <w:rsid w:val="00FE7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FE77BE"/>
    <w:rPr>
      <w:rFonts w:ascii="Calibri" w:eastAsia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3276</Words>
  <Characters>18678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2019-03-17T18:04:00Z</dcterms:created>
  <dcterms:modified xsi:type="dcterms:W3CDTF">2019-03-17T18:04:00Z</dcterms:modified>
</cp:coreProperties>
</file>