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60D5" w:rsidRPr="00D4208E" w:rsidRDefault="001C60D5" w:rsidP="001C60D5">
      <w:pPr>
        <w:pStyle w:val="Akti"/>
        <w:rPr>
          <w:sz w:val="21"/>
          <w:szCs w:val="21"/>
          <w:lang w:val="it-IT"/>
        </w:rPr>
      </w:pPr>
      <w:bookmarkStart w:id="0" w:name="_GoBack"/>
      <w:bookmarkEnd w:id="0"/>
      <w:r w:rsidRPr="00D4208E">
        <w:rPr>
          <w:sz w:val="21"/>
          <w:szCs w:val="21"/>
          <w:lang w:val="it-IT"/>
        </w:rPr>
        <w:t xml:space="preserve">VENDIM </w:t>
      </w:r>
    </w:p>
    <w:p w:rsidR="001C60D5" w:rsidRPr="00D4208E" w:rsidRDefault="001C60D5" w:rsidP="001C60D5">
      <w:pPr>
        <w:pStyle w:val="NumriData"/>
        <w:rPr>
          <w:sz w:val="21"/>
          <w:szCs w:val="21"/>
          <w:lang w:val="it-IT"/>
        </w:rPr>
      </w:pPr>
      <w:r w:rsidRPr="00D4208E">
        <w:rPr>
          <w:sz w:val="21"/>
          <w:szCs w:val="21"/>
          <w:lang w:val="it-IT"/>
        </w:rPr>
        <w:t xml:space="preserve">Nr.995, datë 3.11.2010 </w:t>
      </w:r>
    </w:p>
    <w:p w:rsidR="001C60D5" w:rsidRPr="00D4208E" w:rsidRDefault="001C60D5" w:rsidP="001C60D5">
      <w:pPr>
        <w:pStyle w:val="Paragrafi"/>
        <w:rPr>
          <w:sz w:val="21"/>
          <w:szCs w:val="21"/>
          <w:lang w:val="it-IT"/>
        </w:rPr>
      </w:pPr>
    </w:p>
    <w:p w:rsidR="001C60D5" w:rsidRPr="00D4208E" w:rsidRDefault="001C60D5" w:rsidP="001C60D5">
      <w:pPr>
        <w:pStyle w:val="Titulli"/>
        <w:rPr>
          <w:sz w:val="21"/>
          <w:szCs w:val="21"/>
          <w:lang w:val="it-IT"/>
        </w:rPr>
      </w:pPr>
      <w:r w:rsidRPr="00D4208E">
        <w:rPr>
          <w:sz w:val="21"/>
          <w:szCs w:val="21"/>
          <w:lang w:val="it-IT"/>
        </w:rPr>
        <w:t xml:space="preserve">PëR SHPALLJEN “REZERVAT NATYROR I MENAXHUAR” Të EKOSISTEMIT NATYROR LIGATINOR Të PATOK – FUSHëKUQE – ISHëM </w:t>
      </w:r>
    </w:p>
    <w:p w:rsidR="001C60D5" w:rsidRPr="00D4208E" w:rsidRDefault="001C60D5" w:rsidP="001C60D5">
      <w:pPr>
        <w:pStyle w:val="Paragrafi"/>
        <w:rPr>
          <w:sz w:val="21"/>
          <w:szCs w:val="21"/>
          <w:lang w:val="it-IT"/>
        </w:rPr>
      </w:pPr>
    </w:p>
    <w:p w:rsidR="001C60D5" w:rsidRPr="00D4208E" w:rsidRDefault="001C60D5" w:rsidP="001C60D5">
      <w:pPr>
        <w:pStyle w:val="BazLigjPropozues"/>
        <w:rPr>
          <w:sz w:val="21"/>
          <w:szCs w:val="21"/>
          <w:lang w:val="it-IT"/>
        </w:rPr>
      </w:pPr>
      <w:r w:rsidRPr="00D4208E">
        <w:rPr>
          <w:sz w:val="21"/>
          <w:szCs w:val="21"/>
          <w:lang w:val="it-IT"/>
        </w:rPr>
        <w:t>N</w:t>
      </w:r>
      <w:r>
        <w:rPr>
          <w:sz w:val="21"/>
          <w:szCs w:val="21"/>
          <w:lang w:val="it-IT"/>
        </w:rPr>
        <w:t>ë</w:t>
      </w:r>
      <w:r w:rsidRPr="00D4208E">
        <w:rPr>
          <w:sz w:val="21"/>
          <w:szCs w:val="21"/>
          <w:lang w:val="it-IT"/>
        </w:rPr>
        <w:t xml:space="preserve"> mbështetje të nenit 100 të Kushtetutës dhe të neneve 4, 4/2, 9, 13 e 23 të ligjit nr.8906, datë 6.6.2002 “P</w:t>
      </w:r>
      <w:r>
        <w:rPr>
          <w:sz w:val="21"/>
          <w:szCs w:val="21"/>
          <w:lang w:val="it-IT"/>
        </w:rPr>
        <w:t>ë</w:t>
      </w:r>
      <w:r w:rsidRPr="00D4208E">
        <w:rPr>
          <w:sz w:val="21"/>
          <w:szCs w:val="21"/>
          <w:lang w:val="it-IT"/>
        </w:rPr>
        <w:t xml:space="preserve">r zonat e mbrojtura”, të ndryshuar, me propozimin e Ministrit të Mjedisit, Pyjeve dhe Administrimit të Ujërave, Këshilli i Ministrave </w:t>
      </w:r>
    </w:p>
    <w:p w:rsidR="001C60D5" w:rsidRPr="006A724C" w:rsidRDefault="001C60D5" w:rsidP="001C60D5">
      <w:pPr>
        <w:pStyle w:val="Paragrafi"/>
        <w:rPr>
          <w:sz w:val="12"/>
          <w:szCs w:val="21"/>
          <w:lang w:val="it-IT"/>
        </w:rPr>
      </w:pPr>
    </w:p>
    <w:p w:rsidR="001C60D5" w:rsidRPr="00D4208E" w:rsidRDefault="001C60D5" w:rsidP="001C60D5">
      <w:pPr>
        <w:pStyle w:val="VENDOSI"/>
        <w:rPr>
          <w:sz w:val="21"/>
          <w:szCs w:val="21"/>
          <w:lang w:val="it-IT"/>
        </w:rPr>
      </w:pPr>
      <w:r w:rsidRPr="00D4208E">
        <w:rPr>
          <w:sz w:val="21"/>
          <w:szCs w:val="21"/>
          <w:lang w:val="it-IT"/>
        </w:rPr>
        <w:t xml:space="preserve">VENDOSI: </w:t>
      </w:r>
    </w:p>
    <w:p w:rsidR="001C60D5" w:rsidRPr="006A724C" w:rsidRDefault="001C60D5" w:rsidP="001C60D5">
      <w:pPr>
        <w:pStyle w:val="Paragrafi"/>
        <w:rPr>
          <w:sz w:val="10"/>
          <w:szCs w:val="21"/>
          <w:lang w:val="it-IT"/>
        </w:rPr>
      </w:pPr>
    </w:p>
    <w:p w:rsidR="001C60D5" w:rsidRPr="00D4208E" w:rsidRDefault="001C60D5" w:rsidP="001C60D5">
      <w:pPr>
        <w:pStyle w:val="Paragrafi"/>
        <w:rPr>
          <w:sz w:val="21"/>
          <w:szCs w:val="21"/>
          <w:lang w:val="it-IT"/>
        </w:rPr>
      </w:pPr>
      <w:r w:rsidRPr="00D4208E">
        <w:rPr>
          <w:sz w:val="21"/>
          <w:szCs w:val="21"/>
          <w:lang w:val="it-IT"/>
        </w:rPr>
        <w:t xml:space="preserve">1. Shpalljen “Rezervat natyror i menaxhuar” të ekosistemit natyror ligatinor të Patok </w:t>
      </w:r>
      <w:r>
        <w:rPr>
          <w:sz w:val="21"/>
          <w:szCs w:val="21"/>
          <w:lang w:val="it-IT"/>
        </w:rPr>
        <w:t>–</w:t>
      </w:r>
      <w:r w:rsidRPr="00D4208E">
        <w:rPr>
          <w:sz w:val="21"/>
          <w:szCs w:val="21"/>
          <w:lang w:val="it-IT"/>
        </w:rPr>
        <w:t xml:space="preserve"> Fush</w:t>
      </w:r>
      <w:r>
        <w:rPr>
          <w:sz w:val="21"/>
          <w:szCs w:val="21"/>
          <w:lang w:val="it-IT"/>
        </w:rPr>
        <w:t>ë</w:t>
      </w:r>
      <w:r w:rsidRPr="00D4208E">
        <w:rPr>
          <w:sz w:val="21"/>
          <w:szCs w:val="21"/>
          <w:lang w:val="it-IT"/>
        </w:rPr>
        <w:t xml:space="preserve">kuqe - Ishëm, sipas hartës që i bashkëlidhet këtij vendimi. </w:t>
      </w:r>
    </w:p>
    <w:p w:rsidR="001C60D5" w:rsidRPr="00D4208E" w:rsidRDefault="001C60D5" w:rsidP="001C60D5">
      <w:pPr>
        <w:pStyle w:val="Paragrafi"/>
        <w:rPr>
          <w:sz w:val="21"/>
          <w:szCs w:val="21"/>
          <w:lang w:val="it-IT"/>
        </w:rPr>
      </w:pPr>
      <w:r w:rsidRPr="00D4208E">
        <w:rPr>
          <w:sz w:val="21"/>
          <w:szCs w:val="21"/>
          <w:lang w:val="it-IT"/>
        </w:rPr>
        <w:t xml:space="preserve">2. Kufijtë e këtij rezervati natyror të menaxhuar janë, si më poshtë vijon: </w:t>
      </w:r>
    </w:p>
    <w:p w:rsidR="001C60D5" w:rsidRPr="00D4208E" w:rsidRDefault="001C60D5" w:rsidP="001C60D5">
      <w:pPr>
        <w:pStyle w:val="Paragrafi"/>
        <w:rPr>
          <w:sz w:val="21"/>
          <w:szCs w:val="21"/>
          <w:lang w:val="it-IT"/>
        </w:rPr>
      </w:pPr>
      <w:r w:rsidRPr="00D4208E">
        <w:rPr>
          <w:sz w:val="21"/>
          <w:szCs w:val="21"/>
          <w:lang w:val="it-IT"/>
        </w:rPr>
        <w:t>a) Veri:</w:t>
      </w:r>
    </w:p>
    <w:p w:rsidR="001C60D5" w:rsidRPr="00D4208E" w:rsidRDefault="001C60D5" w:rsidP="001C60D5">
      <w:pPr>
        <w:pStyle w:val="Paragrafi"/>
        <w:rPr>
          <w:sz w:val="21"/>
          <w:szCs w:val="21"/>
          <w:lang w:val="it-IT"/>
        </w:rPr>
      </w:pPr>
      <w:r w:rsidRPr="00D4208E">
        <w:rPr>
          <w:sz w:val="21"/>
          <w:szCs w:val="21"/>
          <w:lang w:val="it-IT"/>
        </w:rPr>
        <w:t>Pika 1 me koordinata 4381044.06L e 4615097.92V, ndjek kufirin jugor të reze</w:t>
      </w:r>
      <w:r>
        <w:rPr>
          <w:sz w:val="21"/>
          <w:szCs w:val="21"/>
          <w:lang w:val="it-IT"/>
        </w:rPr>
        <w:t>rvatit natyror të menaxhuar Kune</w:t>
      </w:r>
      <w:r w:rsidRPr="00D4208E">
        <w:rPr>
          <w:sz w:val="21"/>
          <w:szCs w:val="21"/>
          <w:lang w:val="it-IT"/>
        </w:rPr>
        <w:t>-Vain-Tale dhe krahun e djathtë të rrjedhës s</w:t>
      </w:r>
      <w:r>
        <w:rPr>
          <w:sz w:val="21"/>
          <w:szCs w:val="21"/>
          <w:lang w:val="it-IT"/>
        </w:rPr>
        <w:t>ë</w:t>
      </w:r>
      <w:r w:rsidRPr="00D4208E">
        <w:rPr>
          <w:sz w:val="21"/>
          <w:szCs w:val="21"/>
          <w:lang w:val="it-IT"/>
        </w:rPr>
        <w:t xml:space="preserve"> lumit Mat deri te pika 2 me koordinata 4385013.69L e 4616775.65V, ndërpret lumin Mat, vijon përgjatë argjinaturës deri te pika 3 me koordinata 4386492.35L e 4616059.14V; </w:t>
      </w:r>
    </w:p>
    <w:p w:rsidR="001C60D5" w:rsidRPr="00D4208E" w:rsidRDefault="001C60D5" w:rsidP="001C60D5">
      <w:pPr>
        <w:pStyle w:val="Paragrafi"/>
        <w:rPr>
          <w:sz w:val="21"/>
          <w:szCs w:val="21"/>
          <w:lang w:val="it-IT"/>
        </w:rPr>
      </w:pPr>
      <w:r w:rsidRPr="00D4208E">
        <w:rPr>
          <w:sz w:val="21"/>
          <w:szCs w:val="21"/>
          <w:lang w:val="it-IT"/>
        </w:rPr>
        <w:t xml:space="preserve">b) Lindje: </w:t>
      </w:r>
    </w:p>
    <w:p w:rsidR="001C60D5" w:rsidRPr="00D4208E" w:rsidRDefault="001C60D5" w:rsidP="001C60D5">
      <w:pPr>
        <w:pStyle w:val="Paragrafi"/>
        <w:rPr>
          <w:sz w:val="21"/>
          <w:szCs w:val="21"/>
          <w:lang w:val="it-IT"/>
        </w:rPr>
      </w:pPr>
      <w:r>
        <w:rPr>
          <w:sz w:val="21"/>
          <w:szCs w:val="21"/>
          <w:lang w:val="it-IT"/>
        </w:rPr>
        <w:t>Pika 3</w:t>
      </w:r>
      <w:r w:rsidRPr="00D4208E">
        <w:rPr>
          <w:sz w:val="21"/>
          <w:szCs w:val="21"/>
          <w:lang w:val="it-IT"/>
        </w:rPr>
        <w:t xml:space="preserve"> me koordinata 4386492.35L e 4616059.14V, vijon me rrugën automobilistike të Gurrëzit, me rrugën rurale dhe në krahun e djathtë të kanalit kullues në fshatin Gurrëzi, ndërpret kanalin e uzinës pranë fshatit Fush</w:t>
      </w:r>
      <w:r>
        <w:rPr>
          <w:sz w:val="21"/>
          <w:szCs w:val="21"/>
          <w:lang w:val="it-IT"/>
        </w:rPr>
        <w:t>ëkuqja (Kosovar), vijon përgjatë</w:t>
      </w:r>
      <w:r w:rsidRPr="00D4208E">
        <w:rPr>
          <w:sz w:val="21"/>
          <w:szCs w:val="21"/>
          <w:lang w:val="it-IT"/>
        </w:rPr>
        <w:t xml:space="preserve"> kanalit, drejt lindjes, më pas ndjek rrugën rurale të kanalit kullues pranë stacionit të pompimit të ujit, ndërpret rrugën kryesore për në Fushëkuqe, vijon në krah të kanalit kullues, në drejtim të jugut, ndërpret rrugën automobilistike të “Gjo Vatës” te</w:t>
      </w:r>
      <w:r>
        <w:rPr>
          <w:sz w:val="21"/>
          <w:szCs w:val="21"/>
          <w:lang w:val="it-IT"/>
        </w:rPr>
        <w:t>k</w:t>
      </w:r>
      <w:r w:rsidRPr="00D4208E">
        <w:rPr>
          <w:sz w:val="21"/>
          <w:szCs w:val="21"/>
          <w:lang w:val="it-IT"/>
        </w:rPr>
        <w:t xml:space="preserve"> ura e ngushtë, vijon me kanalin kullues, ndërpret kanalin kryesor të Shëllinzës, sipër hidrovorit, vijon me kanalin kullues, ndërpret rrugën kryesore për në qendrën e Adriatikut, ndjek kanalin kullues në drejtim të lumit Drojë, vijon në krahun e djathtë të rrjedhës së lumit Drojë deri te</w:t>
      </w:r>
      <w:r>
        <w:rPr>
          <w:sz w:val="21"/>
          <w:szCs w:val="21"/>
          <w:lang w:val="it-IT"/>
        </w:rPr>
        <w:t>k</w:t>
      </w:r>
      <w:r w:rsidRPr="00D4208E">
        <w:rPr>
          <w:sz w:val="21"/>
          <w:szCs w:val="21"/>
          <w:lang w:val="it-IT"/>
        </w:rPr>
        <w:t xml:space="preserve"> ur</w:t>
      </w:r>
      <w:r>
        <w:rPr>
          <w:sz w:val="21"/>
          <w:szCs w:val="21"/>
          <w:lang w:val="it-IT"/>
        </w:rPr>
        <w:t>a e Drojës pika 4</w:t>
      </w:r>
      <w:r w:rsidRPr="00D4208E">
        <w:rPr>
          <w:sz w:val="21"/>
          <w:szCs w:val="21"/>
          <w:lang w:val="it-IT"/>
        </w:rPr>
        <w:t xml:space="preserve"> me koordinata 4382857.27L e 4605112.75V; </w:t>
      </w:r>
    </w:p>
    <w:p w:rsidR="001C60D5" w:rsidRPr="00D4208E" w:rsidRDefault="001C60D5" w:rsidP="001C60D5">
      <w:pPr>
        <w:pStyle w:val="Paragrafi"/>
        <w:rPr>
          <w:sz w:val="21"/>
          <w:szCs w:val="21"/>
          <w:lang w:val="it-IT"/>
        </w:rPr>
      </w:pPr>
      <w:r w:rsidRPr="00D4208E">
        <w:rPr>
          <w:sz w:val="21"/>
          <w:szCs w:val="21"/>
          <w:lang w:val="it-IT"/>
        </w:rPr>
        <w:t xml:space="preserve">c) Jug: </w:t>
      </w:r>
    </w:p>
    <w:p w:rsidR="001C60D5" w:rsidRPr="00D4208E" w:rsidRDefault="001C60D5" w:rsidP="001C60D5">
      <w:pPr>
        <w:pStyle w:val="Paragrafi"/>
        <w:rPr>
          <w:sz w:val="21"/>
          <w:szCs w:val="21"/>
          <w:lang w:val="it-IT"/>
        </w:rPr>
      </w:pPr>
      <w:r>
        <w:rPr>
          <w:sz w:val="21"/>
          <w:szCs w:val="21"/>
          <w:lang w:val="it-IT"/>
        </w:rPr>
        <w:t>Ura e Drojës pika 4</w:t>
      </w:r>
      <w:r w:rsidRPr="00D4208E">
        <w:rPr>
          <w:sz w:val="21"/>
          <w:szCs w:val="21"/>
          <w:lang w:val="it-IT"/>
        </w:rPr>
        <w:t xml:space="preserve"> me koordinata 4382857.27L e 4605112.75V, ndërpret lumin Ishëm dhe vijon në krahun e majtë të rrjedhës</w:t>
      </w:r>
      <w:r>
        <w:rPr>
          <w:sz w:val="21"/>
          <w:szCs w:val="21"/>
          <w:lang w:val="it-IT"/>
        </w:rPr>
        <w:t xml:space="preserve"> së tij deri në grykëderdhje te pika 5</w:t>
      </w:r>
      <w:r w:rsidRPr="00D4208E">
        <w:rPr>
          <w:sz w:val="21"/>
          <w:szCs w:val="21"/>
          <w:lang w:val="it-IT"/>
        </w:rPr>
        <w:t xml:space="preserve"> me koordinata 4379760.63L e 46055854.16V; </w:t>
      </w:r>
    </w:p>
    <w:p w:rsidR="001C60D5" w:rsidRPr="00D4208E" w:rsidRDefault="001C60D5" w:rsidP="001C60D5">
      <w:pPr>
        <w:pStyle w:val="Paragrafi"/>
        <w:rPr>
          <w:sz w:val="21"/>
          <w:szCs w:val="21"/>
          <w:lang w:val="it-IT"/>
        </w:rPr>
      </w:pPr>
      <w:r>
        <w:rPr>
          <w:sz w:val="21"/>
          <w:szCs w:val="21"/>
          <w:lang w:val="it-IT"/>
        </w:rPr>
        <w:t>ç</w:t>
      </w:r>
      <w:r w:rsidRPr="00D4208E">
        <w:rPr>
          <w:sz w:val="21"/>
          <w:szCs w:val="21"/>
          <w:lang w:val="it-IT"/>
        </w:rPr>
        <w:t xml:space="preserve">) Perëndim: </w:t>
      </w:r>
    </w:p>
    <w:p w:rsidR="001C60D5" w:rsidRPr="00D4208E" w:rsidRDefault="001C60D5" w:rsidP="001C60D5">
      <w:pPr>
        <w:pStyle w:val="Paragrafi"/>
        <w:rPr>
          <w:sz w:val="21"/>
          <w:szCs w:val="21"/>
          <w:lang w:val="it-IT"/>
        </w:rPr>
      </w:pPr>
      <w:r>
        <w:rPr>
          <w:sz w:val="21"/>
          <w:szCs w:val="21"/>
          <w:lang w:val="it-IT"/>
        </w:rPr>
        <w:t>Pika 5</w:t>
      </w:r>
      <w:r w:rsidRPr="00D4208E">
        <w:rPr>
          <w:sz w:val="21"/>
          <w:szCs w:val="21"/>
          <w:lang w:val="it-IT"/>
        </w:rPr>
        <w:t xml:space="preserve"> me koordinata 4379760.63L e 46055854.16V, vijon përgjat</w:t>
      </w:r>
      <w:r>
        <w:rPr>
          <w:sz w:val="21"/>
          <w:szCs w:val="21"/>
          <w:lang w:val="it-IT"/>
        </w:rPr>
        <w:t>ë</w:t>
      </w:r>
      <w:r w:rsidRPr="00D4208E">
        <w:rPr>
          <w:sz w:val="21"/>
          <w:szCs w:val="21"/>
          <w:lang w:val="it-IT"/>
        </w:rPr>
        <w:t xml:space="preserve"> bre</w:t>
      </w:r>
      <w:r>
        <w:rPr>
          <w:sz w:val="21"/>
          <w:szCs w:val="21"/>
          <w:lang w:val="it-IT"/>
        </w:rPr>
        <w:t>gdetit të detit Adriatik deri te pika 1</w:t>
      </w:r>
      <w:r w:rsidRPr="00D4208E">
        <w:rPr>
          <w:sz w:val="21"/>
          <w:szCs w:val="21"/>
          <w:lang w:val="it-IT"/>
        </w:rPr>
        <w:t xml:space="preserve"> me koordinata 4381044.06L e 4615097.92 V. </w:t>
      </w:r>
    </w:p>
    <w:p w:rsidR="001C60D5" w:rsidRPr="00D4208E" w:rsidRDefault="001C60D5" w:rsidP="001C60D5">
      <w:pPr>
        <w:pStyle w:val="Paragrafi"/>
        <w:rPr>
          <w:sz w:val="21"/>
          <w:szCs w:val="21"/>
          <w:lang w:val="it-IT"/>
        </w:rPr>
      </w:pPr>
      <w:r w:rsidRPr="00D4208E">
        <w:rPr>
          <w:sz w:val="21"/>
          <w:szCs w:val="21"/>
          <w:lang w:val="it-IT"/>
        </w:rPr>
        <w:t>3. Rezervati nat</w:t>
      </w:r>
      <w:r>
        <w:rPr>
          <w:sz w:val="21"/>
          <w:szCs w:val="21"/>
          <w:lang w:val="it-IT"/>
        </w:rPr>
        <w:t>yror i menaxhuar Patok-Fushëkuqe-Ishë</w:t>
      </w:r>
      <w:r w:rsidRPr="00D4208E">
        <w:rPr>
          <w:sz w:val="21"/>
          <w:szCs w:val="21"/>
          <w:lang w:val="it-IT"/>
        </w:rPr>
        <w:t>m ka sipërfaqe t</w:t>
      </w:r>
      <w:r>
        <w:rPr>
          <w:sz w:val="21"/>
          <w:szCs w:val="21"/>
          <w:lang w:val="it-IT"/>
        </w:rPr>
        <w:t>ë përgjithshme 5000.7 (pesë mijë</w:t>
      </w:r>
      <w:r w:rsidRPr="00D4208E">
        <w:rPr>
          <w:sz w:val="21"/>
          <w:szCs w:val="21"/>
          <w:lang w:val="it-IT"/>
        </w:rPr>
        <w:t xml:space="preserve"> pikë shtatë) ha, ku pjesën kryesore të territorit e zënë sipërfaqet ligatinore e lumenjtë, të ndjekura nga sipërfaqet bujqësore, pyjore, kullosore e me bimësi ujore, si dhe sip</w:t>
      </w:r>
      <w:r>
        <w:rPr>
          <w:sz w:val="21"/>
          <w:szCs w:val="21"/>
          <w:lang w:val="it-IT"/>
        </w:rPr>
        <w:t>ërfaqet urbane e troje të pë</w:t>
      </w:r>
      <w:r w:rsidRPr="00D4208E">
        <w:rPr>
          <w:sz w:val="21"/>
          <w:szCs w:val="21"/>
          <w:lang w:val="it-IT"/>
        </w:rPr>
        <w:t xml:space="preserve">rziera </w:t>
      </w:r>
      <w:r>
        <w:rPr>
          <w:sz w:val="21"/>
          <w:szCs w:val="21"/>
          <w:lang w:val="it-IT"/>
        </w:rPr>
        <w:t>me tokë bujqë</w:t>
      </w:r>
      <w:r w:rsidRPr="00D4208E">
        <w:rPr>
          <w:sz w:val="21"/>
          <w:szCs w:val="21"/>
          <w:lang w:val="it-IT"/>
        </w:rPr>
        <w:t xml:space="preserve">sore e pyjore, sipas tabelës, që i bashkëlidhet këtij vendimi. </w:t>
      </w:r>
    </w:p>
    <w:p w:rsidR="001C60D5" w:rsidRPr="00D4208E" w:rsidRDefault="001C60D5" w:rsidP="001C60D5">
      <w:pPr>
        <w:pStyle w:val="Paragrafi"/>
        <w:rPr>
          <w:sz w:val="21"/>
          <w:szCs w:val="21"/>
          <w:lang w:val="it-IT"/>
        </w:rPr>
      </w:pPr>
      <w:r w:rsidRPr="00D4208E">
        <w:rPr>
          <w:sz w:val="21"/>
          <w:szCs w:val="21"/>
          <w:lang w:val="it-IT"/>
        </w:rPr>
        <w:t>4. Rezervati natyror i menaxhuar Patok-Fush</w:t>
      </w:r>
      <w:r>
        <w:rPr>
          <w:sz w:val="21"/>
          <w:szCs w:val="21"/>
          <w:lang w:val="it-IT"/>
        </w:rPr>
        <w:t>ë</w:t>
      </w:r>
      <w:r w:rsidRPr="00D4208E">
        <w:rPr>
          <w:sz w:val="21"/>
          <w:szCs w:val="21"/>
          <w:lang w:val="it-IT"/>
        </w:rPr>
        <w:t xml:space="preserve">kuqe-Ishëm ndahet në nënzona ruajtjeje e administrimi, si më poshtë vijon: </w:t>
      </w:r>
    </w:p>
    <w:p w:rsidR="001C60D5" w:rsidRPr="00D4208E" w:rsidRDefault="001C60D5" w:rsidP="001C60D5">
      <w:pPr>
        <w:pStyle w:val="Paragrafi"/>
        <w:rPr>
          <w:sz w:val="21"/>
          <w:szCs w:val="21"/>
          <w:lang w:val="it-IT"/>
        </w:rPr>
      </w:pPr>
      <w:r w:rsidRPr="00D4208E">
        <w:rPr>
          <w:sz w:val="21"/>
          <w:szCs w:val="21"/>
          <w:lang w:val="it-IT"/>
        </w:rPr>
        <w:t>a) Zona qendrore me sipërfaqe 634.8 (gjashtëqind e tridhjetë e katër pikë tetë) ha, e shënuar në hartë me ZQ, përfshin habitatet kryesore pyjore përgjatë lumit Mat, pyjet aluvionale, habitatet me kallamishte e bim</w:t>
      </w:r>
      <w:r>
        <w:rPr>
          <w:sz w:val="21"/>
          <w:szCs w:val="21"/>
          <w:lang w:val="it-IT"/>
        </w:rPr>
        <w:t>ësi ujore, pjesët e Lameve të Më</w:t>
      </w:r>
      <w:r w:rsidRPr="00D4208E">
        <w:rPr>
          <w:sz w:val="21"/>
          <w:szCs w:val="21"/>
          <w:lang w:val="it-IT"/>
        </w:rPr>
        <w:t>dha e të Vog</w:t>
      </w:r>
      <w:r>
        <w:rPr>
          <w:sz w:val="21"/>
          <w:szCs w:val="21"/>
          <w:lang w:val="it-IT"/>
        </w:rPr>
        <w:t>la, pjesën e pyllit të Fushëkuqes dhe të Neglë</w:t>
      </w:r>
      <w:r w:rsidRPr="00D4208E">
        <w:rPr>
          <w:sz w:val="21"/>
          <w:szCs w:val="21"/>
          <w:lang w:val="it-IT"/>
        </w:rPr>
        <w:t>s, pjesët me bimësi ujore në grykëderdhjen e kanalit të Shëllinzës dhe ato ndërmjet pyllit të Negl</w:t>
      </w:r>
      <w:r>
        <w:rPr>
          <w:sz w:val="21"/>
          <w:szCs w:val="21"/>
          <w:lang w:val="it-IT"/>
        </w:rPr>
        <w:t>ë</w:t>
      </w:r>
      <w:r w:rsidRPr="00D4208E">
        <w:rPr>
          <w:sz w:val="21"/>
          <w:szCs w:val="21"/>
          <w:lang w:val="it-IT"/>
        </w:rPr>
        <w:t>s dhe lumit të Droj</w:t>
      </w:r>
      <w:r>
        <w:rPr>
          <w:sz w:val="21"/>
          <w:szCs w:val="21"/>
          <w:lang w:val="it-IT"/>
        </w:rPr>
        <w:t>ë</w:t>
      </w:r>
      <w:r w:rsidRPr="00D4208E">
        <w:rPr>
          <w:sz w:val="21"/>
          <w:szCs w:val="21"/>
          <w:lang w:val="it-IT"/>
        </w:rPr>
        <w:t>s t</w:t>
      </w:r>
      <w:r>
        <w:rPr>
          <w:sz w:val="21"/>
          <w:szCs w:val="21"/>
          <w:lang w:val="it-IT"/>
        </w:rPr>
        <w:t>e bashkimi me kanalin e Shë</w:t>
      </w:r>
      <w:r w:rsidRPr="00D4208E">
        <w:rPr>
          <w:sz w:val="21"/>
          <w:szCs w:val="21"/>
          <w:lang w:val="it-IT"/>
        </w:rPr>
        <w:t>llinzës. Përcaktohet si zon</w:t>
      </w:r>
      <w:r>
        <w:rPr>
          <w:sz w:val="21"/>
          <w:szCs w:val="21"/>
          <w:lang w:val="it-IT"/>
        </w:rPr>
        <w:t>ë</w:t>
      </w:r>
      <w:r w:rsidRPr="00D4208E">
        <w:rPr>
          <w:sz w:val="21"/>
          <w:szCs w:val="21"/>
          <w:lang w:val="it-IT"/>
        </w:rPr>
        <w:t xml:space="preserve"> me vlera të larta për trashëgiminë natyrore e biodiversitetin dhe në të zbatohet shkalla e parë e mbrojtjes, që siguron një territor të pashqetësuar. </w:t>
      </w:r>
    </w:p>
    <w:p w:rsidR="001C60D5" w:rsidRPr="00D4208E" w:rsidRDefault="001C60D5" w:rsidP="001C60D5">
      <w:pPr>
        <w:pStyle w:val="Paragrafi"/>
        <w:rPr>
          <w:sz w:val="21"/>
          <w:szCs w:val="21"/>
          <w:lang w:val="it-IT"/>
        </w:rPr>
      </w:pPr>
      <w:r w:rsidRPr="00D4208E">
        <w:rPr>
          <w:sz w:val="21"/>
          <w:szCs w:val="21"/>
          <w:lang w:val="it-IT"/>
        </w:rPr>
        <w:t>b</w:t>
      </w:r>
      <w:r>
        <w:rPr>
          <w:sz w:val="21"/>
          <w:szCs w:val="21"/>
          <w:lang w:val="it-IT"/>
        </w:rPr>
        <w:t>) Zona e përdorimit tradicional</w:t>
      </w:r>
      <w:r w:rsidRPr="00D4208E">
        <w:rPr>
          <w:sz w:val="21"/>
          <w:szCs w:val="21"/>
          <w:lang w:val="it-IT"/>
        </w:rPr>
        <w:t xml:space="preserve"> me sip</w:t>
      </w:r>
      <w:r>
        <w:rPr>
          <w:sz w:val="21"/>
          <w:szCs w:val="21"/>
          <w:lang w:val="it-IT"/>
        </w:rPr>
        <w:t>ë</w:t>
      </w:r>
      <w:r w:rsidRPr="00D4208E">
        <w:rPr>
          <w:sz w:val="21"/>
          <w:szCs w:val="21"/>
          <w:lang w:val="it-IT"/>
        </w:rPr>
        <w:t>rfaqe 2 420.0 (dy mijë e kat</w:t>
      </w:r>
      <w:r>
        <w:rPr>
          <w:sz w:val="21"/>
          <w:szCs w:val="21"/>
          <w:lang w:val="it-IT"/>
        </w:rPr>
        <w:t>ërqi</w:t>
      </w:r>
      <w:r w:rsidRPr="00D4208E">
        <w:rPr>
          <w:sz w:val="21"/>
          <w:szCs w:val="21"/>
          <w:lang w:val="it-IT"/>
        </w:rPr>
        <w:t>nd e njëzet pikë zero) ha, e shënuar në hartë me ZPT, përfshin tërësisht pjesët lagunore e detare të Patokut e të Godullës, pjesët ujore të lumenjve Mat e Ishëm dhe të shtretërve të vjetër, tokat me bimësi pyjor</w:t>
      </w:r>
      <w:r>
        <w:rPr>
          <w:sz w:val="21"/>
          <w:szCs w:val="21"/>
          <w:lang w:val="it-IT"/>
        </w:rPr>
        <w:t>e e ujore të Neglës, tokat bujqë</w:t>
      </w:r>
      <w:r w:rsidRPr="00D4208E">
        <w:rPr>
          <w:sz w:val="21"/>
          <w:szCs w:val="21"/>
          <w:lang w:val="it-IT"/>
        </w:rPr>
        <w:t>sore ku mundësohet vazhdimi vetëm i veprimtarive tradicionale</w:t>
      </w:r>
      <w:r>
        <w:rPr>
          <w:sz w:val="21"/>
          <w:szCs w:val="21"/>
          <w:lang w:val="it-IT"/>
        </w:rPr>
        <w:t>,</w:t>
      </w:r>
      <w:r w:rsidRPr="00D4208E">
        <w:rPr>
          <w:sz w:val="21"/>
          <w:szCs w:val="21"/>
          <w:lang w:val="it-IT"/>
        </w:rPr>
        <w:t xml:space="preserve"> si</w:t>
      </w:r>
      <w:r>
        <w:rPr>
          <w:sz w:val="21"/>
          <w:szCs w:val="21"/>
          <w:lang w:val="it-IT"/>
        </w:rPr>
        <w:t>:</w:t>
      </w:r>
      <w:r w:rsidRPr="00D4208E">
        <w:rPr>
          <w:sz w:val="21"/>
          <w:szCs w:val="21"/>
          <w:lang w:val="it-IT"/>
        </w:rPr>
        <w:t xml:space="preserve"> bujqësi, </w:t>
      </w:r>
      <w:r w:rsidRPr="00D4208E">
        <w:rPr>
          <w:sz w:val="21"/>
          <w:szCs w:val="21"/>
          <w:lang w:val="it-IT"/>
        </w:rPr>
        <w:lastRenderedPageBreak/>
        <w:t xml:space="preserve">peshkim dhe pyje, me përdorim të balancuar të tyre, pasi të pajisen me leje mjedisore. Në këtë zonë nuk lejohen ndërtimet e veprimtaritë që shkaktojnë ndryshimin e gjendjes natyrore të rezervave ujore, burimeve, lagunave, të sistemeve të zonave të lagura dhe të pyjeve. Në zonën e përdorimit tradicional zbatohet shkalla e dytë e mbrojtjes. </w:t>
      </w:r>
    </w:p>
    <w:p w:rsidR="001C60D5" w:rsidRPr="00D4208E" w:rsidRDefault="001C60D5" w:rsidP="001C60D5">
      <w:pPr>
        <w:pStyle w:val="Paragrafi"/>
        <w:rPr>
          <w:sz w:val="21"/>
          <w:szCs w:val="21"/>
          <w:lang w:val="it-IT"/>
        </w:rPr>
      </w:pPr>
      <w:r>
        <w:rPr>
          <w:sz w:val="21"/>
          <w:szCs w:val="21"/>
          <w:lang w:val="it-IT"/>
        </w:rPr>
        <w:t>c) Zona e rekreacionit</w:t>
      </w:r>
      <w:r w:rsidRPr="00D4208E">
        <w:rPr>
          <w:sz w:val="21"/>
          <w:szCs w:val="21"/>
          <w:lang w:val="it-IT"/>
        </w:rPr>
        <w:t xml:space="preserve"> me sipërfaqe 448.9 (katërqind e dyzet e tetë pikë nëntë) ha, e shënuar në hartë me ZR, përfshin pjesët e habitateve pyjore, ato me bimësi ujore dhe tokat e lagëta ndërmjet dy shtretërve të lumit Mat, pjesët ndërmjet grykëderdhjes së lumit Ishëm dhe Lumit të Vdekur deri t</w:t>
      </w:r>
      <w:r>
        <w:rPr>
          <w:sz w:val="21"/>
          <w:szCs w:val="21"/>
          <w:lang w:val="it-IT"/>
        </w:rPr>
        <w:t>e</w:t>
      </w:r>
      <w:r w:rsidRPr="00D4208E">
        <w:rPr>
          <w:sz w:val="21"/>
          <w:szCs w:val="21"/>
          <w:lang w:val="it-IT"/>
        </w:rPr>
        <w:t xml:space="preserve"> Godulla, dunat ranore të Patokut dhe pjesën e pyllit të Fushëkuqes. Në të zbatohet shkalla e tretë e mbrojtjes, që siguron nj</w:t>
      </w:r>
      <w:r>
        <w:rPr>
          <w:sz w:val="21"/>
          <w:szCs w:val="21"/>
          <w:lang w:val="it-IT"/>
        </w:rPr>
        <w:t>ë</w:t>
      </w:r>
      <w:r w:rsidRPr="00D4208E">
        <w:rPr>
          <w:sz w:val="21"/>
          <w:szCs w:val="21"/>
          <w:lang w:val="it-IT"/>
        </w:rPr>
        <w:t xml:space="preserve"> territor me ndikim të ulët dhe kontroll të veprimtarive turistike, si mundësi shëtitjeje në natyr</w:t>
      </w:r>
      <w:r>
        <w:rPr>
          <w:sz w:val="21"/>
          <w:szCs w:val="21"/>
          <w:lang w:val="it-IT"/>
        </w:rPr>
        <w:t>ë</w:t>
      </w:r>
      <w:r w:rsidRPr="00D4208E">
        <w:rPr>
          <w:sz w:val="21"/>
          <w:szCs w:val="21"/>
          <w:lang w:val="it-IT"/>
        </w:rPr>
        <w:t xml:space="preserve"> e lehtësi të tjera, në mënyrë të tillë që respekton funksionet e zonës së mbrojtur, vlerat e saj ekologjike dhe ato të peizazhit natyror e kulturor, në mbështetje të studimeve urbanistike të miratuara nga KRRTSH-ja. </w:t>
      </w:r>
    </w:p>
    <w:p w:rsidR="001C60D5" w:rsidRPr="00D4208E" w:rsidRDefault="001C60D5" w:rsidP="001C60D5">
      <w:pPr>
        <w:pStyle w:val="Paragrafi"/>
        <w:rPr>
          <w:sz w:val="21"/>
          <w:szCs w:val="21"/>
          <w:lang w:val="it-IT"/>
        </w:rPr>
      </w:pPr>
      <w:r w:rsidRPr="00D4208E">
        <w:rPr>
          <w:sz w:val="21"/>
          <w:szCs w:val="21"/>
          <w:lang w:val="it-IT"/>
        </w:rPr>
        <w:t>ç) Zona e zh</w:t>
      </w:r>
      <w:r>
        <w:rPr>
          <w:sz w:val="21"/>
          <w:szCs w:val="21"/>
          <w:lang w:val="it-IT"/>
        </w:rPr>
        <w:t>villimit të qëndrueshëm me sipë</w:t>
      </w:r>
      <w:r w:rsidRPr="00D4208E">
        <w:rPr>
          <w:sz w:val="21"/>
          <w:szCs w:val="21"/>
          <w:lang w:val="it-IT"/>
        </w:rPr>
        <w:t>rfaqe 284.0 (dyqind e tetëdhjetë e katër pikë zero) ha, e shënuar në hartë me ZZhQ, përfs</w:t>
      </w:r>
      <w:r>
        <w:rPr>
          <w:sz w:val="21"/>
          <w:szCs w:val="21"/>
          <w:lang w:val="it-IT"/>
        </w:rPr>
        <w:t>hin zonat urbane dhe trojet e pë</w:t>
      </w:r>
      <w:r w:rsidRPr="00D4208E">
        <w:rPr>
          <w:sz w:val="21"/>
          <w:szCs w:val="21"/>
          <w:lang w:val="it-IT"/>
        </w:rPr>
        <w:t>rziera me tokë bujqësore e pyjore pranë qendrave të banuara në Alku, Gurr</w:t>
      </w:r>
      <w:r>
        <w:rPr>
          <w:sz w:val="21"/>
          <w:szCs w:val="21"/>
          <w:lang w:val="it-IT"/>
        </w:rPr>
        <w:t>ë</w:t>
      </w:r>
      <w:r w:rsidRPr="00D4208E">
        <w:rPr>
          <w:sz w:val="21"/>
          <w:szCs w:val="21"/>
          <w:lang w:val="it-IT"/>
        </w:rPr>
        <w:t>zi, Fushëkuqe, Fushëkuqe (Vataj), Shëllinzë dhe pjesën e ndërtimeve të peshkatarëve, si dhe ish-godinat e plazhit të Patokut. Në këtë zonë lejohen veprimtari</w:t>
      </w:r>
      <w:r>
        <w:rPr>
          <w:sz w:val="21"/>
          <w:szCs w:val="21"/>
          <w:lang w:val="it-IT"/>
        </w:rPr>
        <w:t>,</w:t>
      </w:r>
      <w:r w:rsidRPr="00D4208E">
        <w:rPr>
          <w:sz w:val="21"/>
          <w:szCs w:val="21"/>
          <w:lang w:val="it-IT"/>
        </w:rPr>
        <w:t xml:space="preserve"> të cilat nuk c</w:t>
      </w:r>
      <w:r>
        <w:rPr>
          <w:sz w:val="21"/>
          <w:szCs w:val="21"/>
          <w:lang w:val="it-IT"/>
        </w:rPr>
        <w:t>e</w:t>
      </w:r>
      <w:r w:rsidRPr="00D4208E">
        <w:rPr>
          <w:sz w:val="21"/>
          <w:szCs w:val="21"/>
          <w:lang w:val="it-IT"/>
        </w:rPr>
        <w:t xml:space="preserve">nojnë integritetin ekologjik të ekosistemit dhe ushtrohen vetëm me leje mjedisore, që nuk bien ndesh me planin e menaxhimit, dhe sipas planeve të zhvillimit urban, të miratuara nga KRRTRSH-ja. Në </w:t>
      </w:r>
      <w:r>
        <w:rPr>
          <w:sz w:val="21"/>
          <w:szCs w:val="21"/>
          <w:lang w:val="it-IT"/>
        </w:rPr>
        <w:t>zonën e përdorimit të qëndrueshë</w:t>
      </w:r>
      <w:r w:rsidRPr="00D4208E">
        <w:rPr>
          <w:sz w:val="21"/>
          <w:szCs w:val="21"/>
          <w:lang w:val="it-IT"/>
        </w:rPr>
        <w:t xml:space="preserve">m zbatohet shkalla e tretë e mbrojtjes. </w:t>
      </w:r>
    </w:p>
    <w:p w:rsidR="001C60D5" w:rsidRPr="00D4208E" w:rsidRDefault="001C60D5" w:rsidP="001C60D5">
      <w:pPr>
        <w:pStyle w:val="Paragrafi"/>
        <w:rPr>
          <w:sz w:val="21"/>
          <w:szCs w:val="21"/>
          <w:lang w:val="it-IT"/>
        </w:rPr>
      </w:pPr>
      <w:r w:rsidRPr="00D4208E">
        <w:rPr>
          <w:sz w:val="21"/>
          <w:szCs w:val="21"/>
          <w:lang w:val="it-IT"/>
        </w:rPr>
        <w:t>d) Zona buferike me sipërfaqe 1 213.0 (një mijë e dyqind e trembëdhjetë pikë zero) ha, e shënuar në hartë me ZB, është pjesë integrale e zonës së mbrojtur, e cila mundëson vazhdimin e veprimtarive ekonomike e sociale të qëndrueshme dhe përdorimin e balancuar të burimeve natyrore. Veprimtaritë e reja dhe infrastruktura mund të ushtrohen vetëm me leje mjedisore dhe sipas studimeve urbanistike të miratuara, duke mos inkurajuar zhvillime ekonomike e sociale në tokat e lagëta me vlera për biodiversitetin. Në këtë zonë përfshihen pjesa bujqësore, ekonomike dhe urbane nga Fusha e Gurrëzit, Fushëkuqja (Kosovar), pjesët e Gorresë, Fusha Bishti i Fllu</w:t>
      </w:r>
      <w:r>
        <w:rPr>
          <w:sz w:val="21"/>
          <w:szCs w:val="21"/>
          <w:lang w:val="it-IT"/>
        </w:rPr>
        <w:t>gajve, ato të Adriatikut deri te</w:t>
      </w:r>
      <w:r w:rsidRPr="00D4208E">
        <w:rPr>
          <w:sz w:val="21"/>
          <w:szCs w:val="21"/>
          <w:lang w:val="it-IT"/>
        </w:rPr>
        <w:t xml:space="preserve"> lumi i Drojës. Në zonën buferike zbatohet shkalla e katërt e mbrojtjes. </w:t>
      </w:r>
    </w:p>
    <w:p w:rsidR="001C60D5" w:rsidRPr="00D4208E" w:rsidRDefault="001C60D5" w:rsidP="001C60D5">
      <w:pPr>
        <w:pStyle w:val="Paragrafi"/>
        <w:rPr>
          <w:sz w:val="21"/>
          <w:szCs w:val="21"/>
          <w:lang w:val="it-IT"/>
        </w:rPr>
      </w:pPr>
      <w:r w:rsidRPr="00D4208E">
        <w:rPr>
          <w:sz w:val="21"/>
          <w:szCs w:val="21"/>
          <w:lang w:val="it-IT"/>
        </w:rPr>
        <w:t>5. Ministria e Mjedisit, Pyje</w:t>
      </w:r>
      <w:r>
        <w:rPr>
          <w:sz w:val="21"/>
          <w:szCs w:val="21"/>
          <w:lang w:val="it-IT"/>
        </w:rPr>
        <w:t>ve dhe Administrimit të Ujërave</w:t>
      </w:r>
      <w:r w:rsidRPr="00D4208E">
        <w:rPr>
          <w:sz w:val="21"/>
          <w:szCs w:val="21"/>
          <w:lang w:val="it-IT"/>
        </w:rPr>
        <w:t xml:space="preserve"> në bashkëpunim me ministritë e tjera të linjës, njësitë e qeverisjes vendore, institucionet kërkimore-shkencore, org</w:t>
      </w:r>
      <w:r>
        <w:rPr>
          <w:sz w:val="21"/>
          <w:szCs w:val="21"/>
          <w:lang w:val="it-IT"/>
        </w:rPr>
        <w:t>anizatat jofitimprurëse, përfaqë</w:t>
      </w:r>
      <w:r w:rsidRPr="00D4208E">
        <w:rPr>
          <w:sz w:val="21"/>
          <w:szCs w:val="21"/>
          <w:lang w:val="it-IT"/>
        </w:rPr>
        <w:t>suesit</w:t>
      </w:r>
      <w:r>
        <w:rPr>
          <w:sz w:val="21"/>
          <w:szCs w:val="21"/>
          <w:lang w:val="it-IT"/>
        </w:rPr>
        <w:t xml:space="preserve"> e biznesit dhe pronarët privatë</w:t>
      </w:r>
      <w:r w:rsidRPr="00D4208E">
        <w:rPr>
          <w:sz w:val="21"/>
          <w:szCs w:val="21"/>
          <w:lang w:val="it-IT"/>
        </w:rPr>
        <w:t xml:space="preserve">, merr masa për të hartuar planin e menaxhimit të rezervatit natyror të menaxhuar. </w:t>
      </w:r>
    </w:p>
    <w:p w:rsidR="001C60D5" w:rsidRPr="00D4208E" w:rsidRDefault="001C60D5" w:rsidP="001C60D5">
      <w:pPr>
        <w:pStyle w:val="Paragrafi"/>
        <w:rPr>
          <w:sz w:val="21"/>
          <w:szCs w:val="21"/>
          <w:lang w:val="it-IT"/>
        </w:rPr>
      </w:pPr>
      <w:r>
        <w:rPr>
          <w:sz w:val="21"/>
          <w:szCs w:val="21"/>
          <w:lang w:val="it-IT"/>
        </w:rPr>
        <w:t>6. Ministria e Punë</w:t>
      </w:r>
      <w:r w:rsidRPr="00D4208E">
        <w:rPr>
          <w:sz w:val="21"/>
          <w:szCs w:val="21"/>
          <w:lang w:val="it-IT"/>
        </w:rPr>
        <w:t>ve Publike dhe Transportit, në bashkëpunim me ministritë e tjera të linjës, njësitë e qeve</w:t>
      </w:r>
      <w:r>
        <w:rPr>
          <w:sz w:val="21"/>
          <w:szCs w:val="21"/>
          <w:lang w:val="it-IT"/>
        </w:rPr>
        <w:t>r</w:t>
      </w:r>
      <w:r w:rsidRPr="00D4208E">
        <w:rPr>
          <w:sz w:val="21"/>
          <w:szCs w:val="21"/>
          <w:lang w:val="it-IT"/>
        </w:rPr>
        <w:t>isjes v</w:t>
      </w:r>
      <w:r>
        <w:rPr>
          <w:sz w:val="21"/>
          <w:szCs w:val="21"/>
          <w:lang w:val="it-IT"/>
        </w:rPr>
        <w:t>endore, organizatat jofitimprurë</w:t>
      </w:r>
      <w:r w:rsidRPr="00D4208E">
        <w:rPr>
          <w:sz w:val="21"/>
          <w:szCs w:val="21"/>
          <w:lang w:val="it-IT"/>
        </w:rPr>
        <w:t>se, përfaqësues të kom</w:t>
      </w:r>
      <w:r>
        <w:rPr>
          <w:sz w:val="21"/>
          <w:szCs w:val="21"/>
          <w:lang w:val="it-IT"/>
        </w:rPr>
        <w:t>unitetit të biznesit dhe pronarët privatë</w:t>
      </w:r>
      <w:r w:rsidRPr="00D4208E">
        <w:rPr>
          <w:sz w:val="21"/>
          <w:szCs w:val="21"/>
          <w:lang w:val="it-IT"/>
        </w:rPr>
        <w:t>, harton studimin urbanistik për zhvillimet urbane e turistike, në përputhje me dispozitat e ligjit nr.10</w:t>
      </w:r>
      <w:r>
        <w:rPr>
          <w:sz w:val="21"/>
          <w:szCs w:val="21"/>
          <w:lang w:val="it-IT"/>
        </w:rPr>
        <w:t xml:space="preserve"> 1</w:t>
      </w:r>
      <w:r w:rsidRPr="00D4208E">
        <w:rPr>
          <w:sz w:val="21"/>
          <w:szCs w:val="21"/>
          <w:lang w:val="it-IT"/>
        </w:rPr>
        <w:t>19, datë 23.4.2009 “Për planifikimin e territorit”, të ndryshuar, si dhe kontrollin e ndërtimeve, të ci</w:t>
      </w:r>
      <w:r>
        <w:rPr>
          <w:sz w:val="21"/>
          <w:szCs w:val="21"/>
          <w:lang w:val="it-IT"/>
        </w:rPr>
        <w:t>lat gjenden brenda sipërfaqes së</w:t>
      </w:r>
      <w:r w:rsidRPr="00D4208E">
        <w:rPr>
          <w:sz w:val="21"/>
          <w:szCs w:val="21"/>
          <w:lang w:val="it-IT"/>
        </w:rPr>
        <w:t xml:space="preserve"> rezervatit natyror të menaxhuar. </w:t>
      </w:r>
    </w:p>
    <w:p w:rsidR="001C60D5" w:rsidRPr="00D4208E" w:rsidRDefault="001C60D5" w:rsidP="001C60D5">
      <w:pPr>
        <w:pStyle w:val="Paragrafi"/>
        <w:rPr>
          <w:sz w:val="21"/>
          <w:szCs w:val="21"/>
          <w:lang w:val="it-IT"/>
        </w:rPr>
      </w:pPr>
      <w:r>
        <w:rPr>
          <w:sz w:val="21"/>
          <w:szCs w:val="21"/>
          <w:lang w:val="it-IT"/>
        </w:rPr>
        <w:t>Veprimtaritë</w:t>
      </w:r>
      <w:r w:rsidRPr="00D4208E">
        <w:rPr>
          <w:sz w:val="21"/>
          <w:szCs w:val="21"/>
          <w:lang w:val="it-IT"/>
        </w:rPr>
        <w:t xml:space="preserve"> turistike dhe infrastruktura në zonën ndërmjet dy shtretërve të lumit Mat, ushtrohen vetëm me leje mjedisor</w:t>
      </w:r>
      <w:r>
        <w:rPr>
          <w:sz w:val="21"/>
          <w:szCs w:val="21"/>
          <w:lang w:val="it-IT"/>
        </w:rPr>
        <w:t>e dhe sipas vendimit të KRRTRSH-së nr.18, datë 21.7.2009</w:t>
      </w:r>
      <w:r w:rsidRPr="007B27C3">
        <w:rPr>
          <w:sz w:val="21"/>
          <w:szCs w:val="21"/>
          <w:lang w:val="it-IT"/>
        </w:rPr>
        <w:t xml:space="preserve"> </w:t>
      </w:r>
      <w:r w:rsidRPr="00D4208E">
        <w:rPr>
          <w:sz w:val="21"/>
          <w:szCs w:val="21"/>
          <w:lang w:val="it-IT"/>
        </w:rPr>
        <w:t xml:space="preserve">“Për miratimin e studimit urbanistik për zhvillimin e turizmit dhe mbrojtjen e bregut të zonës turistike të Gjirit të Drinit”, dhe rregullores përkatëse. </w:t>
      </w:r>
    </w:p>
    <w:p w:rsidR="001C60D5" w:rsidRPr="00D4208E" w:rsidRDefault="001C60D5" w:rsidP="001C60D5">
      <w:pPr>
        <w:pStyle w:val="Paragrafi"/>
        <w:rPr>
          <w:sz w:val="21"/>
          <w:szCs w:val="21"/>
          <w:lang w:val="it-IT"/>
        </w:rPr>
      </w:pPr>
      <w:r>
        <w:rPr>
          <w:sz w:val="21"/>
          <w:szCs w:val="21"/>
          <w:lang w:val="it-IT"/>
        </w:rPr>
        <w:t>Për veprimtaritë</w:t>
      </w:r>
      <w:r w:rsidRPr="00D4208E">
        <w:rPr>
          <w:sz w:val="21"/>
          <w:szCs w:val="21"/>
          <w:lang w:val="it-IT"/>
        </w:rPr>
        <w:t xml:space="preserve"> turistike të zbatohen kriteret dhe standardet e përcaktuara në ligjin nr.9734, datë 14.5.2007 “Për turizmin”, të ndryshuar, dhe në aktet nënligjore në zbatim të tij. </w:t>
      </w:r>
    </w:p>
    <w:p w:rsidR="001C60D5" w:rsidRPr="00D4208E" w:rsidRDefault="001C60D5" w:rsidP="001C60D5">
      <w:pPr>
        <w:pStyle w:val="Paragrafi"/>
        <w:rPr>
          <w:sz w:val="21"/>
          <w:szCs w:val="21"/>
          <w:lang w:val="it-IT"/>
        </w:rPr>
      </w:pPr>
      <w:r>
        <w:rPr>
          <w:sz w:val="21"/>
          <w:szCs w:val="21"/>
          <w:lang w:val="it-IT"/>
        </w:rPr>
        <w:t>Për rastet e trashëgimisë</w:t>
      </w:r>
      <w:r w:rsidRPr="00D4208E">
        <w:rPr>
          <w:sz w:val="21"/>
          <w:szCs w:val="21"/>
          <w:lang w:val="it-IT"/>
        </w:rPr>
        <w:t xml:space="preserve"> kulturore, vep</w:t>
      </w:r>
      <w:r>
        <w:rPr>
          <w:sz w:val="21"/>
          <w:szCs w:val="21"/>
          <w:lang w:val="it-IT"/>
        </w:rPr>
        <w:t>rimtaritë</w:t>
      </w:r>
      <w:r w:rsidRPr="00D4208E">
        <w:rPr>
          <w:sz w:val="21"/>
          <w:szCs w:val="21"/>
          <w:lang w:val="it-IT"/>
        </w:rPr>
        <w:t xml:space="preserve"> mundësohen me leje t</w:t>
      </w:r>
      <w:r>
        <w:rPr>
          <w:sz w:val="21"/>
          <w:szCs w:val="21"/>
          <w:lang w:val="it-IT"/>
        </w:rPr>
        <w:t>ë Ministrit të Turizmit, Kultur</w:t>
      </w:r>
      <w:r w:rsidRPr="00D4208E">
        <w:rPr>
          <w:sz w:val="21"/>
          <w:szCs w:val="21"/>
          <w:lang w:val="it-IT"/>
        </w:rPr>
        <w:t>ës, Rinisë dhe Sporteve, në mbështetje të dispozitave të ligjit nr.9048, datë 7.4.2003 “Për trashëgiminë kulturore”, të ndrysh</w:t>
      </w:r>
      <w:r>
        <w:rPr>
          <w:sz w:val="21"/>
          <w:szCs w:val="21"/>
          <w:lang w:val="it-IT"/>
        </w:rPr>
        <w:t>uar, dhe të ligjit nr.9806, datë</w:t>
      </w:r>
      <w:r w:rsidRPr="00D4208E">
        <w:rPr>
          <w:sz w:val="21"/>
          <w:szCs w:val="21"/>
          <w:lang w:val="it-IT"/>
        </w:rPr>
        <w:t xml:space="preserve"> 17.9.2007 “Për aderimin e Republikës së Shqipërisë në Konventën Europiane “Për mbrojtjen e trashëgimisë arkeologjike”</w:t>
      </w:r>
      <w:r>
        <w:rPr>
          <w:sz w:val="21"/>
          <w:szCs w:val="21"/>
          <w:lang w:val="it-IT"/>
        </w:rPr>
        <w:t>”</w:t>
      </w:r>
      <w:r w:rsidRPr="00D4208E">
        <w:rPr>
          <w:sz w:val="21"/>
          <w:szCs w:val="21"/>
          <w:lang w:val="it-IT"/>
        </w:rPr>
        <w:t xml:space="preserve">. </w:t>
      </w:r>
    </w:p>
    <w:p w:rsidR="001C60D5" w:rsidRPr="00D4208E" w:rsidRDefault="001C60D5" w:rsidP="001C60D5">
      <w:pPr>
        <w:pStyle w:val="Paragrafi"/>
        <w:rPr>
          <w:sz w:val="21"/>
          <w:szCs w:val="21"/>
          <w:lang w:val="it-IT"/>
        </w:rPr>
      </w:pPr>
      <w:r w:rsidRPr="00D4208E">
        <w:rPr>
          <w:sz w:val="21"/>
          <w:szCs w:val="21"/>
          <w:lang w:val="it-IT"/>
        </w:rPr>
        <w:t>7. Ministria e Mjedisit, Pyjeve dhe Administrimit të Ujërave, ministritë e tjera të linjës dhe njësitë e qeverisjes vendore të rishikojnë lejet që kanë dhënë për veprimtari ekonomike e shoqëro</w:t>
      </w:r>
      <w:r>
        <w:rPr>
          <w:sz w:val="21"/>
          <w:szCs w:val="21"/>
          <w:lang w:val="it-IT"/>
        </w:rPr>
        <w:t>re, të cilat gjenden brenda sipë</w:t>
      </w:r>
      <w:r w:rsidRPr="00D4208E">
        <w:rPr>
          <w:sz w:val="21"/>
          <w:szCs w:val="21"/>
          <w:lang w:val="it-IT"/>
        </w:rPr>
        <w:t>rfaqes së rezervatit natyror të menaxhuar. Subjektet e pajisura me lejet përkatëse do të vazhdojnë të ushtrojnë këtë veprimtari, nëse nga pikëpamja ligjore përmbushin kriteret e ligjit nr.8906, datë 6.6.2002 “P</w:t>
      </w:r>
      <w:r>
        <w:rPr>
          <w:sz w:val="21"/>
          <w:szCs w:val="21"/>
          <w:lang w:val="it-IT"/>
        </w:rPr>
        <w:t>ër zonat e mbrojtu</w:t>
      </w:r>
      <w:r w:rsidRPr="00D4208E">
        <w:rPr>
          <w:sz w:val="21"/>
          <w:szCs w:val="21"/>
          <w:lang w:val="it-IT"/>
        </w:rPr>
        <w:t xml:space="preserve">ra”, të ndryshuar, si dhe kur janë në përputhje me synimet dhe objektivat e menaxhimit të rezervatit natyror. </w:t>
      </w:r>
    </w:p>
    <w:p w:rsidR="001C60D5" w:rsidRPr="00D4208E" w:rsidRDefault="001C60D5" w:rsidP="001C60D5">
      <w:pPr>
        <w:pStyle w:val="Paragrafi"/>
        <w:rPr>
          <w:sz w:val="21"/>
          <w:szCs w:val="21"/>
          <w:lang w:val="it-IT"/>
        </w:rPr>
      </w:pPr>
      <w:r w:rsidRPr="00D4208E">
        <w:rPr>
          <w:sz w:val="21"/>
          <w:szCs w:val="21"/>
          <w:lang w:val="it-IT"/>
        </w:rPr>
        <w:lastRenderedPageBreak/>
        <w:t>8. Autoritet shtetëror, që ngarkohet me administrimin e zonës së mbrojtur, janë strukturat e Ministrisë së Mjedisit, Pyjeve dhe Administrimit të Ujërave, ndërs</w:t>
      </w:r>
      <w:r>
        <w:rPr>
          <w:sz w:val="21"/>
          <w:szCs w:val="21"/>
          <w:lang w:val="it-IT"/>
        </w:rPr>
        <w:t>a administrata ekzistuese e zonës së mbrojtur Patok-Fushëkuqe</w:t>
      </w:r>
      <w:r w:rsidRPr="00D4208E">
        <w:rPr>
          <w:sz w:val="21"/>
          <w:szCs w:val="21"/>
          <w:lang w:val="it-IT"/>
        </w:rPr>
        <w:t xml:space="preserve"> kryen funksionet e administratës së rezervatit natyror të menaxhuar të Patok-Fushëkuq</w:t>
      </w:r>
      <w:r>
        <w:rPr>
          <w:sz w:val="21"/>
          <w:szCs w:val="21"/>
          <w:lang w:val="it-IT"/>
        </w:rPr>
        <w:t>e</w:t>
      </w:r>
      <w:r w:rsidRPr="00D4208E">
        <w:rPr>
          <w:sz w:val="21"/>
          <w:szCs w:val="21"/>
          <w:lang w:val="it-IT"/>
        </w:rPr>
        <w:t xml:space="preserve">-Ishëm. </w:t>
      </w:r>
    </w:p>
    <w:p w:rsidR="001C60D5" w:rsidRPr="00D4208E" w:rsidRDefault="001C60D5" w:rsidP="001C60D5">
      <w:pPr>
        <w:pStyle w:val="Paragrafi"/>
        <w:rPr>
          <w:sz w:val="21"/>
          <w:szCs w:val="21"/>
          <w:lang w:val="it-IT"/>
        </w:rPr>
      </w:pPr>
      <w:r>
        <w:rPr>
          <w:sz w:val="21"/>
          <w:szCs w:val="21"/>
          <w:lang w:val="it-IT"/>
        </w:rPr>
        <w:t>9. Ngarkohen, sipas përkatësisë</w:t>
      </w:r>
      <w:r w:rsidRPr="00D4208E">
        <w:rPr>
          <w:sz w:val="21"/>
          <w:szCs w:val="21"/>
          <w:lang w:val="it-IT"/>
        </w:rPr>
        <w:t xml:space="preserve">, ministritë e linjës dhe njësitë e qeverisjes vendore për zbatimin e këtij vendimi. </w:t>
      </w:r>
    </w:p>
    <w:p w:rsidR="001C60D5" w:rsidRPr="00D4208E" w:rsidRDefault="001C60D5" w:rsidP="001C60D5">
      <w:pPr>
        <w:pStyle w:val="Paragrafi"/>
        <w:rPr>
          <w:sz w:val="21"/>
          <w:szCs w:val="21"/>
          <w:lang w:val="it-IT"/>
        </w:rPr>
      </w:pPr>
      <w:r w:rsidRPr="00D4208E">
        <w:rPr>
          <w:sz w:val="21"/>
          <w:szCs w:val="21"/>
          <w:lang w:val="it-IT"/>
        </w:rPr>
        <w:t xml:space="preserve">Ky vendim hyn në fuqi pas botimit në Fletoren Zyrtare. </w:t>
      </w:r>
    </w:p>
    <w:p w:rsidR="001C60D5" w:rsidRPr="00D4208E" w:rsidRDefault="001C60D5" w:rsidP="001C60D5">
      <w:pPr>
        <w:pStyle w:val="Paragrafi"/>
        <w:rPr>
          <w:sz w:val="21"/>
          <w:szCs w:val="21"/>
          <w:lang w:val="it-IT"/>
        </w:rPr>
      </w:pPr>
    </w:p>
    <w:p w:rsidR="001C60D5" w:rsidRPr="001C60D5" w:rsidRDefault="001C60D5" w:rsidP="001C60D5">
      <w:pPr>
        <w:pStyle w:val="Autoriteti"/>
        <w:rPr>
          <w:sz w:val="21"/>
          <w:szCs w:val="21"/>
          <w:lang w:val="it-IT"/>
        </w:rPr>
      </w:pPr>
      <w:r w:rsidRPr="001C60D5">
        <w:rPr>
          <w:sz w:val="21"/>
          <w:szCs w:val="21"/>
          <w:lang w:val="it-IT"/>
        </w:rPr>
        <w:t>Kryeministri</w:t>
      </w:r>
    </w:p>
    <w:p w:rsidR="001C60D5" w:rsidRPr="001C60D5" w:rsidRDefault="001C60D5" w:rsidP="001C60D5">
      <w:pPr>
        <w:pStyle w:val="AutoritetiEmer"/>
        <w:rPr>
          <w:sz w:val="21"/>
          <w:szCs w:val="21"/>
          <w:lang w:val="it-IT"/>
        </w:rPr>
      </w:pPr>
      <w:r w:rsidRPr="001C60D5">
        <w:rPr>
          <w:sz w:val="21"/>
          <w:szCs w:val="21"/>
          <w:lang w:val="it-IT"/>
        </w:rPr>
        <w:t>Sali Berisha</w:t>
      </w:r>
    </w:p>
    <w:p w:rsidR="001C60D5" w:rsidRPr="001C60D5" w:rsidRDefault="001C60D5" w:rsidP="001C60D5">
      <w:pPr>
        <w:pStyle w:val="Paragrafi"/>
        <w:jc w:val="center"/>
        <w:rPr>
          <w:b/>
          <w:sz w:val="21"/>
          <w:szCs w:val="21"/>
          <w:lang w:val="it-IT"/>
        </w:rPr>
      </w:pPr>
    </w:p>
    <w:p w:rsidR="001C60D5" w:rsidRPr="00F615A6" w:rsidRDefault="001C60D5" w:rsidP="001C60D5">
      <w:pPr>
        <w:pStyle w:val="Paragrafi"/>
        <w:rPr>
          <w:b/>
          <w:sz w:val="21"/>
          <w:szCs w:val="21"/>
          <w:lang w:val="it-IT"/>
        </w:rPr>
      </w:pPr>
      <w:r w:rsidRPr="00F615A6">
        <w:rPr>
          <w:b/>
          <w:sz w:val="21"/>
          <w:szCs w:val="21"/>
          <w:lang w:val="it-IT"/>
        </w:rPr>
        <w:t>Sasia e sip</w:t>
      </w:r>
      <w:r>
        <w:rPr>
          <w:b/>
          <w:sz w:val="21"/>
          <w:szCs w:val="21"/>
          <w:lang w:val="it-IT"/>
        </w:rPr>
        <w:t>ë</w:t>
      </w:r>
      <w:r w:rsidRPr="00F615A6">
        <w:rPr>
          <w:b/>
          <w:sz w:val="21"/>
          <w:szCs w:val="21"/>
          <w:lang w:val="it-IT"/>
        </w:rPr>
        <w:t>rfaqeve sipas p</w:t>
      </w:r>
      <w:r>
        <w:rPr>
          <w:b/>
          <w:sz w:val="21"/>
          <w:szCs w:val="21"/>
          <w:lang w:val="it-IT"/>
        </w:rPr>
        <w:t>ë</w:t>
      </w:r>
      <w:r w:rsidRPr="00F615A6">
        <w:rPr>
          <w:b/>
          <w:sz w:val="21"/>
          <w:szCs w:val="21"/>
          <w:lang w:val="it-IT"/>
        </w:rPr>
        <w:t>rb</w:t>
      </w:r>
      <w:r>
        <w:rPr>
          <w:b/>
          <w:sz w:val="21"/>
          <w:szCs w:val="21"/>
          <w:lang w:val="it-IT"/>
        </w:rPr>
        <w:t>ë</w:t>
      </w:r>
      <w:r w:rsidRPr="00F615A6">
        <w:rPr>
          <w:b/>
          <w:sz w:val="21"/>
          <w:szCs w:val="21"/>
          <w:lang w:val="it-IT"/>
        </w:rPr>
        <w:t>rjes</w:t>
      </w:r>
      <w:r w:rsidRPr="00F615A6">
        <w:rPr>
          <w:b/>
          <w:sz w:val="21"/>
          <w:szCs w:val="21"/>
          <w:lang w:val="it-IT"/>
        </w:rPr>
        <w:tab/>
      </w:r>
      <w:r>
        <w:rPr>
          <w:b/>
          <w:sz w:val="21"/>
          <w:szCs w:val="21"/>
          <w:lang w:val="it-IT"/>
        </w:rPr>
        <w:tab/>
      </w:r>
      <w:r>
        <w:rPr>
          <w:b/>
          <w:sz w:val="21"/>
          <w:szCs w:val="21"/>
          <w:lang w:val="it-IT"/>
        </w:rPr>
        <w:tab/>
      </w:r>
      <w:r>
        <w:rPr>
          <w:b/>
          <w:sz w:val="21"/>
          <w:szCs w:val="21"/>
          <w:lang w:val="it-IT"/>
        </w:rPr>
        <w:tab/>
      </w:r>
      <w:r>
        <w:rPr>
          <w:b/>
          <w:sz w:val="21"/>
          <w:szCs w:val="21"/>
          <w:lang w:val="it-IT"/>
        </w:rPr>
        <w:tab/>
        <w:t>Tabela</w:t>
      </w:r>
    </w:p>
    <w:tbl>
      <w:tblPr>
        <w:tblStyle w:val="TableGrid"/>
        <w:tblW w:w="4329" w:type="pct"/>
        <w:tblInd w:w="648" w:type="dxa"/>
        <w:tblLook w:val="01E0" w:firstRow="1" w:lastRow="1" w:firstColumn="1" w:lastColumn="1" w:noHBand="0" w:noVBand="0"/>
      </w:tblPr>
      <w:tblGrid>
        <w:gridCol w:w="827"/>
        <w:gridCol w:w="5076"/>
        <w:gridCol w:w="1765"/>
      </w:tblGrid>
      <w:tr w:rsidR="001C60D5" w:rsidRPr="00D4208E" w:rsidTr="001C60D5">
        <w:tc>
          <w:tcPr>
            <w:tcW w:w="539" w:type="pct"/>
          </w:tcPr>
          <w:p w:rsidR="001C60D5" w:rsidRPr="00D4208E" w:rsidRDefault="001C60D5" w:rsidP="001C60D5">
            <w:pPr>
              <w:pStyle w:val="Paragrafi"/>
              <w:ind w:firstLine="0"/>
              <w:jc w:val="center"/>
              <w:rPr>
                <w:b/>
                <w:sz w:val="21"/>
                <w:szCs w:val="21"/>
              </w:rPr>
            </w:pPr>
            <w:r w:rsidRPr="00D4208E">
              <w:rPr>
                <w:b/>
                <w:sz w:val="21"/>
                <w:szCs w:val="21"/>
              </w:rPr>
              <w:t>Nr.</w:t>
            </w:r>
          </w:p>
        </w:tc>
        <w:tc>
          <w:tcPr>
            <w:tcW w:w="3310" w:type="pct"/>
          </w:tcPr>
          <w:p w:rsidR="001C60D5" w:rsidRPr="00D4208E" w:rsidRDefault="001C60D5" w:rsidP="001C60D5">
            <w:pPr>
              <w:pStyle w:val="Paragrafi"/>
              <w:ind w:firstLine="0"/>
              <w:jc w:val="center"/>
              <w:rPr>
                <w:b/>
                <w:sz w:val="21"/>
                <w:szCs w:val="21"/>
              </w:rPr>
            </w:pPr>
            <w:r w:rsidRPr="00D4208E">
              <w:rPr>
                <w:b/>
                <w:sz w:val="21"/>
                <w:szCs w:val="21"/>
              </w:rPr>
              <w:t>Përdorimi i territorit</w:t>
            </w:r>
          </w:p>
        </w:tc>
        <w:tc>
          <w:tcPr>
            <w:tcW w:w="1151" w:type="pct"/>
          </w:tcPr>
          <w:p w:rsidR="001C60D5" w:rsidRPr="00D4208E" w:rsidRDefault="001C60D5" w:rsidP="001C60D5">
            <w:pPr>
              <w:pStyle w:val="Paragrafi"/>
              <w:ind w:firstLine="0"/>
              <w:jc w:val="center"/>
              <w:rPr>
                <w:b/>
                <w:sz w:val="21"/>
                <w:szCs w:val="21"/>
              </w:rPr>
            </w:pPr>
            <w:r w:rsidRPr="00D4208E">
              <w:rPr>
                <w:b/>
                <w:sz w:val="21"/>
                <w:szCs w:val="21"/>
              </w:rPr>
              <w:t>Sipërfaqja në ha</w:t>
            </w:r>
          </w:p>
        </w:tc>
      </w:tr>
      <w:tr w:rsidR="001C60D5" w:rsidRPr="00D4208E" w:rsidTr="001C60D5">
        <w:tc>
          <w:tcPr>
            <w:tcW w:w="539" w:type="pct"/>
          </w:tcPr>
          <w:p w:rsidR="001C60D5" w:rsidRPr="00D4208E" w:rsidRDefault="001C60D5" w:rsidP="001C60D5">
            <w:pPr>
              <w:pStyle w:val="Paragrafi"/>
              <w:ind w:firstLine="0"/>
              <w:rPr>
                <w:sz w:val="21"/>
                <w:szCs w:val="21"/>
              </w:rPr>
            </w:pPr>
            <w:r w:rsidRPr="00D4208E">
              <w:rPr>
                <w:sz w:val="21"/>
                <w:szCs w:val="21"/>
              </w:rPr>
              <w:t>1.</w:t>
            </w:r>
          </w:p>
        </w:tc>
        <w:tc>
          <w:tcPr>
            <w:tcW w:w="3310" w:type="pct"/>
          </w:tcPr>
          <w:p w:rsidR="001C60D5" w:rsidRPr="00D4208E" w:rsidRDefault="001C60D5" w:rsidP="001C60D5">
            <w:pPr>
              <w:pStyle w:val="Paragrafi"/>
              <w:ind w:firstLine="0"/>
              <w:rPr>
                <w:sz w:val="21"/>
                <w:szCs w:val="21"/>
              </w:rPr>
            </w:pPr>
            <w:r w:rsidRPr="00D4208E">
              <w:rPr>
                <w:sz w:val="21"/>
                <w:szCs w:val="21"/>
              </w:rPr>
              <w:t xml:space="preserve">Sipërfaqe pyjore, shkurre, ripyllëzime, tokë me bimësi pyjore dhe </w:t>
            </w:r>
            <w:r>
              <w:rPr>
                <w:sz w:val="21"/>
                <w:szCs w:val="21"/>
              </w:rPr>
              <w:t>ujore</w:t>
            </w:r>
          </w:p>
        </w:tc>
        <w:tc>
          <w:tcPr>
            <w:tcW w:w="1151" w:type="pct"/>
          </w:tcPr>
          <w:p w:rsidR="001C60D5" w:rsidRPr="00D4208E" w:rsidRDefault="001C60D5" w:rsidP="001C60D5">
            <w:pPr>
              <w:pStyle w:val="Paragrafi"/>
              <w:ind w:firstLine="0"/>
              <w:jc w:val="right"/>
              <w:rPr>
                <w:sz w:val="21"/>
                <w:szCs w:val="21"/>
              </w:rPr>
            </w:pPr>
            <w:r w:rsidRPr="00D4208E">
              <w:rPr>
                <w:sz w:val="21"/>
                <w:szCs w:val="21"/>
              </w:rPr>
              <w:t>1 520.5</w:t>
            </w:r>
          </w:p>
        </w:tc>
      </w:tr>
      <w:tr w:rsidR="001C60D5" w:rsidRPr="00D4208E" w:rsidTr="001C60D5">
        <w:tc>
          <w:tcPr>
            <w:tcW w:w="539" w:type="pct"/>
          </w:tcPr>
          <w:p w:rsidR="001C60D5" w:rsidRPr="00D4208E" w:rsidRDefault="001C60D5" w:rsidP="001C60D5">
            <w:pPr>
              <w:pStyle w:val="Paragrafi"/>
              <w:ind w:firstLine="0"/>
              <w:rPr>
                <w:sz w:val="21"/>
                <w:szCs w:val="21"/>
              </w:rPr>
            </w:pPr>
            <w:r w:rsidRPr="00D4208E">
              <w:rPr>
                <w:sz w:val="21"/>
                <w:szCs w:val="21"/>
              </w:rPr>
              <w:t>2.</w:t>
            </w:r>
          </w:p>
        </w:tc>
        <w:tc>
          <w:tcPr>
            <w:tcW w:w="3310" w:type="pct"/>
          </w:tcPr>
          <w:p w:rsidR="001C60D5" w:rsidRPr="00D4208E" w:rsidRDefault="001C60D5" w:rsidP="001C60D5">
            <w:pPr>
              <w:pStyle w:val="Paragrafi"/>
              <w:ind w:firstLine="0"/>
              <w:rPr>
                <w:sz w:val="21"/>
                <w:szCs w:val="21"/>
              </w:rPr>
            </w:pPr>
            <w:r>
              <w:rPr>
                <w:sz w:val="21"/>
                <w:szCs w:val="21"/>
              </w:rPr>
              <w:t>Sipërfaqe kullosore e livadhe</w:t>
            </w:r>
          </w:p>
        </w:tc>
        <w:tc>
          <w:tcPr>
            <w:tcW w:w="1151" w:type="pct"/>
          </w:tcPr>
          <w:p w:rsidR="001C60D5" w:rsidRPr="00D4208E" w:rsidRDefault="001C60D5" w:rsidP="001C60D5">
            <w:pPr>
              <w:pStyle w:val="Paragrafi"/>
              <w:ind w:firstLine="0"/>
              <w:jc w:val="right"/>
              <w:rPr>
                <w:sz w:val="21"/>
                <w:szCs w:val="21"/>
              </w:rPr>
            </w:pPr>
            <w:r w:rsidRPr="00D4208E">
              <w:rPr>
                <w:sz w:val="21"/>
                <w:szCs w:val="21"/>
              </w:rPr>
              <w:t>296.0</w:t>
            </w:r>
          </w:p>
        </w:tc>
      </w:tr>
      <w:tr w:rsidR="001C60D5" w:rsidRPr="00D4208E" w:rsidTr="001C60D5">
        <w:tc>
          <w:tcPr>
            <w:tcW w:w="539" w:type="pct"/>
          </w:tcPr>
          <w:p w:rsidR="001C60D5" w:rsidRPr="00D4208E" w:rsidRDefault="001C60D5" w:rsidP="001C60D5">
            <w:pPr>
              <w:pStyle w:val="Paragrafi"/>
              <w:ind w:firstLine="0"/>
              <w:rPr>
                <w:sz w:val="21"/>
                <w:szCs w:val="21"/>
              </w:rPr>
            </w:pPr>
            <w:r w:rsidRPr="00D4208E">
              <w:rPr>
                <w:sz w:val="21"/>
                <w:szCs w:val="21"/>
              </w:rPr>
              <w:t>3.</w:t>
            </w:r>
          </w:p>
        </w:tc>
        <w:tc>
          <w:tcPr>
            <w:tcW w:w="3310" w:type="pct"/>
          </w:tcPr>
          <w:p w:rsidR="001C60D5" w:rsidRPr="00D4208E" w:rsidRDefault="001C60D5" w:rsidP="001C60D5">
            <w:pPr>
              <w:pStyle w:val="Paragrafi"/>
              <w:ind w:firstLine="0"/>
              <w:rPr>
                <w:sz w:val="21"/>
                <w:szCs w:val="21"/>
              </w:rPr>
            </w:pPr>
            <w:r>
              <w:rPr>
                <w:sz w:val="21"/>
                <w:szCs w:val="21"/>
              </w:rPr>
              <w:t>Sipërfaqe bujqësore (arë</w:t>
            </w:r>
            <w:r w:rsidRPr="00D4208E">
              <w:rPr>
                <w:sz w:val="21"/>
                <w:szCs w:val="21"/>
              </w:rPr>
              <w:t>, pemëtore, vreshta)</w:t>
            </w:r>
          </w:p>
        </w:tc>
        <w:tc>
          <w:tcPr>
            <w:tcW w:w="1151" w:type="pct"/>
          </w:tcPr>
          <w:p w:rsidR="001C60D5" w:rsidRPr="00D4208E" w:rsidRDefault="001C60D5" w:rsidP="001C60D5">
            <w:pPr>
              <w:pStyle w:val="Paragrafi"/>
              <w:ind w:firstLine="0"/>
              <w:jc w:val="right"/>
              <w:rPr>
                <w:sz w:val="21"/>
                <w:szCs w:val="21"/>
              </w:rPr>
            </w:pPr>
            <w:r w:rsidRPr="00D4208E">
              <w:rPr>
                <w:sz w:val="21"/>
                <w:szCs w:val="21"/>
              </w:rPr>
              <w:t>1 764.7</w:t>
            </w:r>
          </w:p>
        </w:tc>
      </w:tr>
      <w:tr w:rsidR="001C60D5" w:rsidRPr="00D4208E" w:rsidTr="001C60D5">
        <w:tc>
          <w:tcPr>
            <w:tcW w:w="539" w:type="pct"/>
          </w:tcPr>
          <w:p w:rsidR="001C60D5" w:rsidRPr="00D4208E" w:rsidRDefault="001C60D5" w:rsidP="001C60D5">
            <w:pPr>
              <w:pStyle w:val="Paragrafi"/>
              <w:ind w:firstLine="0"/>
              <w:rPr>
                <w:sz w:val="21"/>
                <w:szCs w:val="21"/>
              </w:rPr>
            </w:pPr>
            <w:r w:rsidRPr="00D4208E">
              <w:rPr>
                <w:sz w:val="21"/>
                <w:szCs w:val="21"/>
              </w:rPr>
              <w:t>4.</w:t>
            </w:r>
          </w:p>
        </w:tc>
        <w:tc>
          <w:tcPr>
            <w:tcW w:w="3310" w:type="pct"/>
          </w:tcPr>
          <w:p w:rsidR="001C60D5" w:rsidRPr="00D4208E" w:rsidRDefault="001C60D5" w:rsidP="001C60D5">
            <w:pPr>
              <w:pStyle w:val="Paragrafi"/>
              <w:ind w:firstLine="0"/>
              <w:rPr>
                <w:sz w:val="21"/>
                <w:szCs w:val="21"/>
                <w:lang w:val="it-IT"/>
              </w:rPr>
            </w:pPr>
            <w:r w:rsidRPr="00D4208E">
              <w:rPr>
                <w:sz w:val="21"/>
                <w:szCs w:val="21"/>
                <w:lang w:val="it-IT"/>
              </w:rPr>
              <w:t>Sipërfaqe ujore (detare, lumenj, li</w:t>
            </w:r>
            <w:r>
              <w:rPr>
                <w:sz w:val="21"/>
                <w:szCs w:val="21"/>
                <w:lang w:val="it-IT"/>
              </w:rPr>
              <w:t>gatina, kanale kulluese ujitës)</w:t>
            </w:r>
          </w:p>
        </w:tc>
        <w:tc>
          <w:tcPr>
            <w:tcW w:w="1151" w:type="pct"/>
          </w:tcPr>
          <w:p w:rsidR="001C60D5" w:rsidRPr="00D4208E" w:rsidRDefault="001C60D5" w:rsidP="001C60D5">
            <w:pPr>
              <w:pStyle w:val="Paragrafi"/>
              <w:ind w:firstLine="0"/>
              <w:jc w:val="right"/>
              <w:rPr>
                <w:sz w:val="21"/>
                <w:szCs w:val="21"/>
              </w:rPr>
            </w:pPr>
            <w:r w:rsidRPr="00D4208E">
              <w:rPr>
                <w:sz w:val="21"/>
                <w:szCs w:val="21"/>
              </w:rPr>
              <w:t>913.7</w:t>
            </w:r>
          </w:p>
        </w:tc>
      </w:tr>
      <w:tr w:rsidR="001C60D5" w:rsidRPr="00D4208E" w:rsidTr="001C60D5">
        <w:tc>
          <w:tcPr>
            <w:tcW w:w="539" w:type="pct"/>
          </w:tcPr>
          <w:p w:rsidR="001C60D5" w:rsidRPr="00D4208E" w:rsidRDefault="001C60D5" w:rsidP="001C60D5">
            <w:pPr>
              <w:pStyle w:val="Paragrafi"/>
              <w:ind w:firstLine="0"/>
              <w:rPr>
                <w:sz w:val="21"/>
                <w:szCs w:val="21"/>
              </w:rPr>
            </w:pPr>
            <w:r w:rsidRPr="00D4208E">
              <w:rPr>
                <w:sz w:val="21"/>
                <w:szCs w:val="21"/>
              </w:rPr>
              <w:t>5.</w:t>
            </w:r>
          </w:p>
        </w:tc>
        <w:tc>
          <w:tcPr>
            <w:tcW w:w="3310" w:type="pct"/>
          </w:tcPr>
          <w:p w:rsidR="001C60D5" w:rsidRPr="006E37B0" w:rsidRDefault="001C60D5" w:rsidP="001C60D5">
            <w:pPr>
              <w:pStyle w:val="Paragrafi"/>
              <w:ind w:firstLine="0"/>
              <w:rPr>
                <w:sz w:val="21"/>
                <w:szCs w:val="21"/>
                <w:lang w:val="it-IT"/>
              </w:rPr>
            </w:pPr>
            <w:r w:rsidRPr="00D4208E">
              <w:rPr>
                <w:sz w:val="21"/>
                <w:szCs w:val="21"/>
                <w:lang w:val="sq-AL"/>
              </w:rPr>
              <w:t>Sipërfaqe joprodhuese (ranore, zhavo</w:t>
            </w:r>
            <w:r>
              <w:rPr>
                <w:sz w:val="21"/>
                <w:szCs w:val="21"/>
                <w:lang w:val="sq-AL"/>
              </w:rPr>
              <w:t>rr</w:t>
            </w:r>
            <w:r w:rsidRPr="00D4208E">
              <w:rPr>
                <w:sz w:val="21"/>
                <w:szCs w:val="21"/>
                <w:lang w:val="sq-AL"/>
              </w:rPr>
              <w:t>ishte e zhveshur)</w:t>
            </w:r>
          </w:p>
        </w:tc>
        <w:tc>
          <w:tcPr>
            <w:tcW w:w="1151" w:type="pct"/>
          </w:tcPr>
          <w:p w:rsidR="001C60D5" w:rsidRPr="00D4208E" w:rsidRDefault="001C60D5" w:rsidP="001C60D5">
            <w:pPr>
              <w:pStyle w:val="Paragrafi"/>
              <w:ind w:firstLine="0"/>
              <w:jc w:val="right"/>
              <w:rPr>
                <w:sz w:val="21"/>
                <w:szCs w:val="21"/>
              </w:rPr>
            </w:pPr>
            <w:r w:rsidRPr="00D4208E">
              <w:rPr>
                <w:sz w:val="21"/>
                <w:szCs w:val="21"/>
              </w:rPr>
              <w:t>81.8</w:t>
            </w:r>
          </w:p>
        </w:tc>
      </w:tr>
      <w:tr w:rsidR="001C60D5" w:rsidRPr="00D4208E" w:rsidTr="001C60D5">
        <w:tc>
          <w:tcPr>
            <w:tcW w:w="539" w:type="pct"/>
          </w:tcPr>
          <w:p w:rsidR="001C60D5" w:rsidRPr="00D4208E" w:rsidRDefault="001C60D5" w:rsidP="001C60D5">
            <w:pPr>
              <w:pStyle w:val="Paragrafi"/>
              <w:ind w:firstLine="0"/>
              <w:rPr>
                <w:sz w:val="21"/>
                <w:szCs w:val="21"/>
              </w:rPr>
            </w:pPr>
            <w:r w:rsidRPr="00D4208E">
              <w:rPr>
                <w:sz w:val="21"/>
                <w:szCs w:val="21"/>
              </w:rPr>
              <w:t>6.</w:t>
            </w:r>
          </w:p>
        </w:tc>
        <w:tc>
          <w:tcPr>
            <w:tcW w:w="3310" w:type="pct"/>
          </w:tcPr>
          <w:p w:rsidR="001C60D5" w:rsidRPr="00D4208E" w:rsidRDefault="001C60D5" w:rsidP="001C60D5">
            <w:pPr>
              <w:pStyle w:val="Paragrafi"/>
              <w:ind w:firstLine="0"/>
              <w:rPr>
                <w:sz w:val="21"/>
                <w:szCs w:val="21"/>
              </w:rPr>
            </w:pPr>
            <w:r w:rsidRPr="00D4208E">
              <w:rPr>
                <w:sz w:val="21"/>
                <w:szCs w:val="21"/>
                <w:lang w:val="sq-AL"/>
              </w:rPr>
              <w:t>Sipërfaqe urbane dhe troje të përzier</w:t>
            </w:r>
            <w:r>
              <w:rPr>
                <w:sz w:val="21"/>
                <w:szCs w:val="21"/>
                <w:lang w:val="sq-AL"/>
              </w:rPr>
              <w:t>a</w:t>
            </w:r>
            <w:r w:rsidRPr="00D4208E">
              <w:rPr>
                <w:sz w:val="21"/>
                <w:szCs w:val="21"/>
                <w:lang w:val="sq-AL"/>
              </w:rPr>
              <w:t xml:space="preserve"> me tokë bujqësore dhe pyjore</w:t>
            </w:r>
          </w:p>
        </w:tc>
        <w:tc>
          <w:tcPr>
            <w:tcW w:w="1151" w:type="pct"/>
          </w:tcPr>
          <w:p w:rsidR="001C60D5" w:rsidRPr="00D4208E" w:rsidRDefault="001C60D5" w:rsidP="001C60D5">
            <w:pPr>
              <w:pStyle w:val="Paragrafi"/>
              <w:ind w:firstLine="0"/>
              <w:jc w:val="right"/>
              <w:rPr>
                <w:sz w:val="21"/>
                <w:szCs w:val="21"/>
              </w:rPr>
            </w:pPr>
            <w:r w:rsidRPr="00D4208E">
              <w:rPr>
                <w:sz w:val="21"/>
                <w:szCs w:val="21"/>
              </w:rPr>
              <w:t>424.0</w:t>
            </w:r>
          </w:p>
        </w:tc>
      </w:tr>
      <w:tr w:rsidR="001C60D5" w:rsidRPr="006E37B0" w:rsidTr="001C60D5">
        <w:tc>
          <w:tcPr>
            <w:tcW w:w="539" w:type="pct"/>
          </w:tcPr>
          <w:p w:rsidR="001C60D5" w:rsidRPr="006E37B0" w:rsidRDefault="001C60D5" w:rsidP="001C60D5">
            <w:pPr>
              <w:pStyle w:val="Paragrafi"/>
              <w:ind w:firstLine="0"/>
              <w:rPr>
                <w:b/>
                <w:sz w:val="21"/>
                <w:szCs w:val="21"/>
              </w:rPr>
            </w:pPr>
          </w:p>
        </w:tc>
        <w:tc>
          <w:tcPr>
            <w:tcW w:w="3310" w:type="pct"/>
          </w:tcPr>
          <w:p w:rsidR="001C60D5" w:rsidRPr="006E37B0" w:rsidRDefault="001C60D5" w:rsidP="001C60D5">
            <w:pPr>
              <w:pStyle w:val="Paragrafi"/>
              <w:ind w:firstLine="0"/>
              <w:rPr>
                <w:b/>
                <w:sz w:val="21"/>
                <w:szCs w:val="21"/>
                <w:lang w:val="it-IT"/>
              </w:rPr>
            </w:pPr>
            <w:r w:rsidRPr="006E37B0">
              <w:rPr>
                <w:b/>
                <w:sz w:val="21"/>
                <w:szCs w:val="21"/>
                <w:lang w:val="it-IT"/>
              </w:rPr>
              <w:t xml:space="preserve">Sipërfaqe e përgjithshme </w:t>
            </w:r>
          </w:p>
        </w:tc>
        <w:tc>
          <w:tcPr>
            <w:tcW w:w="1151" w:type="pct"/>
          </w:tcPr>
          <w:p w:rsidR="001C60D5" w:rsidRPr="006E37B0" w:rsidRDefault="001C60D5" w:rsidP="001C60D5">
            <w:pPr>
              <w:pStyle w:val="Paragrafi"/>
              <w:ind w:firstLine="0"/>
              <w:jc w:val="right"/>
              <w:rPr>
                <w:b/>
                <w:sz w:val="21"/>
                <w:szCs w:val="21"/>
                <w:lang w:val="it-IT"/>
              </w:rPr>
            </w:pPr>
            <w:r w:rsidRPr="006E37B0">
              <w:rPr>
                <w:b/>
                <w:sz w:val="21"/>
                <w:szCs w:val="21"/>
                <w:lang w:val="it-IT"/>
              </w:rPr>
              <w:t>5 000.7</w:t>
            </w:r>
          </w:p>
        </w:tc>
      </w:tr>
    </w:tbl>
    <w:p w:rsidR="001C60D5" w:rsidRPr="006E37B0" w:rsidRDefault="001C60D5" w:rsidP="001C60D5">
      <w:pPr>
        <w:pStyle w:val="Paragrafi"/>
        <w:rPr>
          <w:b/>
          <w:sz w:val="21"/>
          <w:szCs w:val="21"/>
          <w:lang w:val="it-IT"/>
        </w:rPr>
      </w:pPr>
    </w:p>
    <w:p w:rsidR="001C60D5" w:rsidRPr="00D4208E" w:rsidRDefault="001C60D5" w:rsidP="001C60D5">
      <w:pPr>
        <w:pStyle w:val="Paragrafi"/>
        <w:rPr>
          <w:sz w:val="21"/>
          <w:szCs w:val="21"/>
        </w:rPr>
      </w:pPr>
    </w:p>
    <w:p w:rsidR="001C60D5" w:rsidRPr="00D4208E" w:rsidRDefault="0094653E" w:rsidP="001C60D5">
      <w:pPr>
        <w:pStyle w:val="Figure"/>
      </w:pPr>
      <w:r w:rsidRPr="00D4208E">
        <w:rPr>
          <w:noProof/>
          <w:lang w:val="en-GB" w:eastAsia="en-GB"/>
        </w:rPr>
        <w:lastRenderedPageBreak/>
        <w:drawing>
          <wp:inline distT="0" distB="0" distL="0" distR="0">
            <wp:extent cx="5829300" cy="8458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29300" cy="8458200"/>
                    </a:xfrm>
                    <a:prstGeom prst="rect">
                      <a:avLst/>
                    </a:prstGeom>
                    <a:noFill/>
                    <a:ln>
                      <a:noFill/>
                    </a:ln>
                  </pic:spPr>
                </pic:pic>
              </a:graphicData>
            </a:graphic>
          </wp:inline>
        </w:drawing>
      </w:r>
    </w:p>
    <w:sectPr w:rsidR="001C60D5" w:rsidRPr="00D4208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7FDC874C"/>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C60D5"/>
    <w:rsid w:val="000001FE"/>
    <w:rsid w:val="00002818"/>
    <w:rsid w:val="00002B5B"/>
    <w:rsid w:val="000061A1"/>
    <w:rsid w:val="00006DF7"/>
    <w:rsid w:val="00010423"/>
    <w:rsid w:val="00022A53"/>
    <w:rsid w:val="00022A77"/>
    <w:rsid w:val="000264B3"/>
    <w:rsid w:val="000278DC"/>
    <w:rsid w:val="00027998"/>
    <w:rsid w:val="000312BE"/>
    <w:rsid w:val="00034C72"/>
    <w:rsid w:val="00041A3B"/>
    <w:rsid w:val="00043166"/>
    <w:rsid w:val="00044427"/>
    <w:rsid w:val="00045829"/>
    <w:rsid w:val="00051374"/>
    <w:rsid w:val="00060E2A"/>
    <w:rsid w:val="000641B1"/>
    <w:rsid w:val="00065C91"/>
    <w:rsid w:val="0006718E"/>
    <w:rsid w:val="000717CA"/>
    <w:rsid w:val="00072E1C"/>
    <w:rsid w:val="00080C6B"/>
    <w:rsid w:val="00082635"/>
    <w:rsid w:val="00086172"/>
    <w:rsid w:val="00090125"/>
    <w:rsid w:val="0009774D"/>
    <w:rsid w:val="000A04D0"/>
    <w:rsid w:val="000A70A8"/>
    <w:rsid w:val="000A7212"/>
    <w:rsid w:val="000A75B0"/>
    <w:rsid w:val="000B422E"/>
    <w:rsid w:val="000B4EA9"/>
    <w:rsid w:val="000B5CBD"/>
    <w:rsid w:val="000C090E"/>
    <w:rsid w:val="000C0EF9"/>
    <w:rsid w:val="000C19E7"/>
    <w:rsid w:val="000C4004"/>
    <w:rsid w:val="000D2636"/>
    <w:rsid w:val="000D4C98"/>
    <w:rsid w:val="000E3DD0"/>
    <w:rsid w:val="000E69FE"/>
    <w:rsid w:val="000F0BD8"/>
    <w:rsid w:val="000F0FB9"/>
    <w:rsid w:val="000F3E76"/>
    <w:rsid w:val="000F57AA"/>
    <w:rsid w:val="000F5EDB"/>
    <w:rsid w:val="000F662B"/>
    <w:rsid w:val="000F7199"/>
    <w:rsid w:val="00104DC7"/>
    <w:rsid w:val="00107916"/>
    <w:rsid w:val="00112F5A"/>
    <w:rsid w:val="00113AB0"/>
    <w:rsid w:val="00123C6B"/>
    <w:rsid w:val="00124C31"/>
    <w:rsid w:val="0013023A"/>
    <w:rsid w:val="00135066"/>
    <w:rsid w:val="00136C4F"/>
    <w:rsid w:val="00141994"/>
    <w:rsid w:val="00142A06"/>
    <w:rsid w:val="00142DD7"/>
    <w:rsid w:val="00143F0C"/>
    <w:rsid w:val="001471F4"/>
    <w:rsid w:val="0015174E"/>
    <w:rsid w:val="00156716"/>
    <w:rsid w:val="00156A58"/>
    <w:rsid w:val="001610A0"/>
    <w:rsid w:val="001624B6"/>
    <w:rsid w:val="00164711"/>
    <w:rsid w:val="00164E2E"/>
    <w:rsid w:val="001676E8"/>
    <w:rsid w:val="00173D3B"/>
    <w:rsid w:val="001751CD"/>
    <w:rsid w:val="001752CA"/>
    <w:rsid w:val="0017651F"/>
    <w:rsid w:val="00177706"/>
    <w:rsid w:val="00177B70"/>
    <w:rsid w:val="00181D76"/>
    <w:rsid w:val="00184311"/>
    <w:rsid w:val="001845CE"/>
    <w:rsid w:val="001855BD"/>
    <w:rsid w:val="001904C4"/>
    <w:rsid w:val="00192955"/>
    <w:rsid w:val="00193A7F"/>
    <w:rsid w:val="00195472"/>
    <w:rsid w:val="001971CD"/>
    <w:rsid w:val="001A21F7"/>
    <w:rsid w:val="001A4496"/>
    <w:rsid w:val="001B3B24"/>
    <w:rsid w:val="001C16B0"/>
    <w:rsid w:val="001C4D94"/>
    <w:rsid w:val="001C60D5"/>
    <w:rsid w:val="001C6C85"/>
    <w:rsid w:val="001D0B9F"/>
    <w:rsid w:val="001D1EC4"/>
    <w:rsid w:val="001D2CC9"/>
    <w:rsid w:val="001D30BE"/>
    <w:rsid w:val="001E050A"/>
    <w:rsid w:val="001E75D0"/>
    <w:rsid w:val="00204CB3"/>
    <w:rsid w:val="00206B47"/>
    <w:rsid w:val="00211324"/>
    <w:rsid w:val="002116F0"/>
    <w:rsid w:val="00213B33"/>
    <w:rsid w:val="002159AC"/>
    <w:rsid w:val="00223760"/>
    <w:rsid w:val="00225910"/>
    <w:rsid w:val="002314C9"/>
    <w:rsid w:val="00234547"/>
    <w:rsid w:val="00235357"/>
    <w:rsid w:val="00235AC3"/>
    <w:rsid w:val="00236420"/>
    <w:rsid w:val="00237A2D"/>
    <w:rsid w:val="00237ED1"/>
    <w:rsid w:val="0024193A"/>
    <w:rsid w:val="00247800"/>
    <w:rsid w:val="002562E2"/>
    <w:rsid w:val="002603D4"/>
    <w:rsid w:val="00260E80"/>
    <w:rsid w:val="00262D3A"/>
    <w:rsid w:val="002658CE"/>
    <w:rsid w:val="00266BC1"/>
    <w:rsid w:val="00267C8A"/>
    <w:rsid w:val="00275829"/>
    <w:rsid w:val="00276534"/>
    <w:rsid w:val="00282A68"/>
    <w:rsid w:val="00285B5C"/>
    <w:rsid w:val="00285DA9"/>
    <w:rsid w:val="0029129C"/>
    <w:rsid w:val="002912CB"/>
    <w:rsid w:val="002A0A9A"/>
    <w:rsid w:val="002A0B80"/>
    <w:rsid w:val="002A0D8E"/>
    <w:rsid w:val="002A4A98"/>
    <w:rsid w:val="002A7849"/>
    <w:rsid w:val="002A7A2F"/>
    <w:rsid w:val="002B1E76"/>
    <w:rsid w:val="002C342B"/>
    <w:rsid w:val="002C534B"/>
    <w:rsid w:val="002C5C86"/>
    <w:rsid w:val="002C6F83"/>
    <w:rsid w:val="002D06A1"/>
    <w:rsid w:val="002D3C09"/>
    <w:rsid w:val="002D5451"/>
    <w:rsid w:val="002D735D"/>
    <w:rsid w:val="002D7B47"/>
    <w:rsid w:val="002E451D"/>
    <w:rsid w:val="002E792C"/>
    <w:rsid w:val="002F7F85"/>
    <w:rsid w:val="0030138A"/>
    <w:rsid w:val="00303D95"/>
    <w:rsid w:val="00307720"/>
    <w:rsid w:val="00307A23"/>
    <w:rsid w:val="00307FBD"/>
    <w:rsid w:val="003107EB"/>
    <w:rsid w:val="003111BE"/>
    <w:rsid w:val="003120F8"/>
    <w:rsid w:val="0031465A"/>
    <w:rsid w:val="00322A3C"/>
    <w:rsid w:val="003401E3"/>
    <w:rsid w:val="00340FBD"/>
    <w:rsid w:val="00340FC2"/>
    <w:rsid w:val="00342E7A"/>
    <w:rsid w:val="003462AD"/>
    <w:rsid w:val="00346F00"/>
    <w:rsid w:val="0035367F"/>
    <w:rsid w:val="003561B8"/>
    <w:rsid w:val="00356AD8"/>
    <w:rsid w:val="00361449"/>
    <w:rsid w:val="00365418"/>
    <w:rsid w:val="00367B7E"/>
    <w:rsid w:val="0037037F"/>
    <w:rsid w:val="00372508"/>
    <w:rsid w:val="003743C5"/>
    <w:rsid w:val="00376FB6"/>
    <w:rsid w:val="00377673"/>
    <w:rsid w:val="0038019E"/>
    <w:rsid w:val="00391832"/>
    <w:rsid w:val="00394BB4"/>
    <w:rsid w:val="003969AB"/>
    <w:rsid w:val="00397869"/>
    <w:rsid w:val="003A65B3"/>
    <w:rsid w:val="003A6C06"/>
    <w:rsid w:val="003B2904"/>
    <w:rsid w:val="003B53A5"/>
    <w:rsid w:val="003B7A3F"/>
    <w:rsid w:val="003C6D26"/>
    <w:rsid w:val="003C729E"/>
    <w:rsid w:val="003D25CA"/>
    <w:rsid w:val="003D56B2"/>
    <w:rsid w:val="003D611D"/>
    <w:rsid w:val="003E7B70"/>
    <w:rsid w:val="003F02C7"/>
    <w:rsid w:val="003F0A8A"/>
    <w:rsid w:val="003F177E"/>
    <w:rsid w:val="003F49F3"/>
    <w:rsid w:val="003F59C8"/>
    <w:rsid w:val="003F729A"/>
    <w:rsid w:val="00401708"/>
    <w:rsid w:val="00407C8F"/>
    <w:rsid w:val="00407D8B"/>
    <w:rsid w:val="00413DC0"/>
    <w:rsid w:val="004142F3"/>
    <w:rsid w:val="00416812"/>
    <w:rsid w:val="00417A87"/>
    <w:rsid w:val="00417AA4"/>
    <w:rsid w:val="00417B56"/>
    <w:rsid w:val="004265C3"/>
    <w:rsid w:val="004279ED"/>
    <w:rsid w:val="00431121"/>
    <w:rsid w:val="00436329"/>
    <w:rsid w:val="00441827"/>
    <w:rsid w:val="004424EC"/>
    <w:rsid w:val="00444C40"/>
    <w:rsid w:val="00457013"/>
    <w:rsid w:val="00461BDD"/>
    <w:rsid w:val="004652A0"/>
    <w:rsid w:val="004667F8"/>
    <w:rsid w:val="00470723"/>
    <w:rsid w:val="004820BE"/>
    <w:rsid w:val="00483597"/>
    <w:rsid w:val="00483D6D"/>
    <w:rsid w:val="0048463A"/>
    <w:rsid w:val="00487334"/>
    <w:rsid w:val="004A1F7A"/>
    <w:rsid w:val="004A41AF"/>
    <w:rsid w:val="004A6EFB"/>
    <w:rsid w:val="004A7B5C"/>
    <w:rsid w:val="004B1AD6"/>
    <w:rsid w:val="004B3E98"/>
    <w:rsid w:val="004B6602"/>
    <w:rsid w:val="004C3D23"/>
    <w:rsid w:val="004C3F0C"/>
    <w:rsid w:val="004C6309"/>
    <w:rsid w:val="004D4BBD"/>
    <w:rsid w:val="004E0A3E"/>
    <w:rsid w:val="004E1D22"/>
    <w:rsid w:val="004E5CE8"/>
    <w:rsid w:val="00502287"/>
    <w:rsid w:val="00516FBD"/>
    <w:rsid w:val="00521B22"/>
    <w:rsid w:val="005235B9"/>
    <w:rsid w:val="005250DC"/>
    <w:rsid w:val="00525F16"/>
    <w:rsid w:val="00530E3F"/>
    <w:rsid w:val="005323CC"/>
    <w:rsid w:val="0053781B"/>
    <w:rsid w:val="00537ABB"/>
    <w:rsid w:val="00556934"/>
    <w:rsid w:val="00557C42"/>
    <w:rsid w:val="00557D51"/>
    <w:rsid w:val="005603AF"/>
    <w:rsid w:val="00563F92"/>
    <w:rsid w:val="0056432B"/>
    <w:rsid w:val="00574A34"/>
    <w:rsid w:val="00576A7D"/>
    <w:rsid w:val="005815B9"/>
    <w:rsid w:val="00583766"/>
    <w:rsid w:val="00585639"/>
    <w:rsid w:val="00597DE5"/>
    <w:rsid w:val="005A13A5"/>
    <w:rsid w:val="005B09D6"/>
    <w:rsid w:val="005B1C19"/>
    <w:rsid w:val="005B1EAB"/>
    <w:rsid w:val="005B293E"/>
    <w:rsid w:val="005C345C"/>
    <w:rsid w:val="005C4AEF"/>
    <w:rsid w:val="005D2CA2"/>
    <w:rsid w:val="005D3083"/>
    <w:rsid w:val="005E0D86"/>
    <w:rsid w:val="005E43C6"/>
    <w:rsid w:val="006016E6"/>
    <w:rsid w:val="00604D2C"/>
    <w:rsid w:val="0060598C"/>
    <w:rsid w:val="00612E26"/>
    <w:rsid w:val="00614A00"/>
    <w:rsid w:val="006166CD"/>
    <w:rsid w:val="00626489"/>
    <w:rsid w:val="006266E3"/>
    <w:rsid w:val="006305D0"/>
    <w:rsid w:val="00630B40"/>
    <w:rsid w:val="006339A3"/>
    <w:rsid w:val="00633B47"/>
    <w:rsid w:val="00640C03"/>
    <w:rsid w:val="006428F0"/>
    <w:rsid w:val="00644F1B"/>
    <w:rsid w:val="00645761"/>
    <w:rsid w:val="00645767"/>
    <w:rsid w:val="00646AB6"/>
    <w:rsid w:val="00650262"/>
    <w:rsid w:val="0065200E"/>
    <w:rsid w:val="00653C78"/>
    <w:rsid w:val="006637AF"/>
    <w:rsid w:val="00664496"/>
    <w:rsid w:val="006821C1"/>
    <w:rsid w:val="00691B4B"/>
    <w:rsid w:val="00693787"/>
    <w:rsid w:val="0069393A"/>
    <w:rsid w:val="006A3E4C"/>
    <w:rsid w:val="006A40AC"/>
    <w:rsid w:val="006A535E"/>
    <w:rsid w:val="006B02B7"/>
    <w:rsid w:val="006B61BC"/>
    <w:rsid w:val="006B70D6"/>
    <w:rsid w:val="006C5ED5"/>
    <w:rsid w:val="006D1CBD"/>
    <w:rsid w:val="006D3768"/>
    <w:rsid w:val="006D4EB9"/>
    <w:rsid w:val="006D567F"/>
    <w:rsid w:val="006E09E3"/>
    <w:rsid w:val="006E1119"/>
    <w:rsid w:val="006E752F"/>
    <w:rsid w:val="006F1AD4"/>
    <w:rsid w:val="006F214E"/>
    <w:rsid w:val="0070258F"/>
    <w:rsid w:val="00703F79"/>
    <w:rsid w:val="00704493"/>
    <w:rsid w:val="00704E2B"/>
    <w:rsid w:val="0070713B"/>
    <w:rsid w:val="007143D0"/>
    <w:rsid w:val="00721505"/>
    <w:rsid w:val="00721B5F"/>
    <w:rsid w:val="00723FEA"/>
    <w:rsid w:val="007253DB"/>
    <w:rsid w:val="00726D02"/>
    <w:rsid w:val="007313E2"/>
    <w:rsid w:val="00731D18"/>
    <w:rsid w:val="00734EF4"/>
    <w:rsid w:val="00735349"/>
    <w:rsid w:val="007359BD"/>
    <w:rsid w:val="00737902"/>
    <w:rsid w:val="00740B39"/>
    <w:rsid w:val="0074419A"/>
    <w:rsid w:val="007448B2"/>
    <w:rsid w:val="00745172"/>
    <w:rsid w:val="0076021C"/>
    <w:rsid w:val="0076092E"/>
    <w:rsid w:val="00761F71"/>
    <w:rsid w:val="007647DC"/>
    <w:rsid w:val="00771F68"/>
    <w:rsid w:val="00772B2A"/>
    <w:rsid w:val="00772E19"/>
    <w:rsid w:val="00781C5F"/>
    <w:rsid w:val="00782994"/>
    <w:rsid w:val="00782E90"/>
    <w:rsid w:val="007853E4"/>
    <w:rsid w:val="007866D8"/>
    <w:rsid w:val="0079676C"/>
    <w:rsid w:val="007B4E69"/>
    <w:rsid w:val="007C10D0"/>
    <w:rsid w:val="007C261D"/>
    <w:rsid w:val="007C556A"/>
    <w:rsid w:val="007C60E9"/>
    <w:rsid w:val="007D0EB4"/>
    <w:rsid w:val="007D1675"/>
    <w:rsid w:val="007D217F"/>
    <w:rsid w:val="007D3219"/>
    <w:rsid w:val="007D37E9"/>
    <w:rsid w:val="007D3DFF"/>
    <w:rsid w:val="007D44B2"/>
    <w:rsid w:val="007D4C7A"/>
    <w:rsid w:val="007D5390"/>
    <w:rsid w:val="007D5D52"/>
    <w:rsid w:val="007D5DD7"/>
    <w:rsid w:val="007E1FC4"/>
    <w:rsid w:val="007E6DF5"/>
    <w:rsid w:val="007F13E0"/>
    <w:rsid w:val="007F7510"/>
    <w:rsid w:val="008005D1"/>
    <w:rsid w:val="00800C7A"/>
    <w:rsid w:val="00801BC5"/>
    <w:rsid w:val="00803E5B"/>
    <w:rsid w:val="008046B4"/>
    <w:rsid w:val="0080609D"/>
    <w:rsid w:val="00806EFA"/>
    <w:rsid w:val="008155A4"/>
    <w:rsid w:val="00815D90"/>
    <w:rsid w:val="008166E1"/>
    <w:rsid w:val="00817B5E"/>
    <w:rsid w:val="008319EF"/>
    <w:rsid w:val="008355B2"/>
    <w:rsid w:val="00844008"/>
    <w:rsid w:val="008451B8"/>
    <w:rsid w:val="00845F64"/>
    <w:rsid w:val="00853D5C"/>
    <w:rsid w:val="00860AC5"/>
    <w:rsid w:val="00864EDE"/>
    <w:rsid w:val="00887B4F"/>
    <w:rsid w:val="008913EC"/>
    <w:rsid w:val="00897A90"/>
    <w:rsid w:val="008A254C"/>
    <w:rsid w:val="008A4140"/>
    <w:rsid w:val="008A4B61"/>
    <w:rsid w:val="008B5F03"/>
    <w:rsid w:val="008C3A87"/>
    <w:rsid w:val="008C5DE5"/>
    <w:rsid w:val="008D2515"/>
    <w:rsid w:val="008D2C78"/>
    <w:rsid w:val="008D49C2"/>
    <w:rsid w:val="008D7629"/>
    <w:rsid w:val="008E50AC"/>
    <w:rsid w:val="008E68F8"/>
    <w:rsid w:val="008E6A8F"/>
    <w:rsid w:val="008F100B"/>
    <w:rsid w:val="008F12D6"/>
    <w:rsid w:val="008F3219"/>
    <w:rsid w:val="00914ED9"/>
    <w:rsid w:val="00923481"/>
    <w:rsid w:val="00924967"/>
    <w:rsid w:val="00930949"/>
    <w:rsid w:val="00933947"/>
    <w:rsid w:val="009362E0"/>
    <w:rsid w:val="0094471C"/>
    <w:rsid w:val="0094653E"/>
    <w:rsid w:val="00950513"/>
    <w:rsid w:val="009508CB"/>
    <w:rsid w:val="00964F1E"/>
    <w:rsid w:val="00970D21"/>
    <w:rsid w:val="00975780"/>
    <w:rsid w:val="0097585F"/>
    <w:rsid w:val="00982ACF"/>
    <w:rsid w:val="00984EEE"/>
    <w:rsid w:val="00985937"/>
    <w:rsid w:val="00987509"/>
    <w:rsid w:val="0099363D"/>
    <w:rsid w:val="00995859"/>
    <w:rsid w:val="00996269"/>
    <w:rsid w:val="00997877"/>
    <w:rsid w:val="009A4653"/>
    <w:rsid w:val="009A61E5"/>
    <w:rsid w:val="009B17E5"/>
    <w:rsid w:val="009B310C"/>
    <w:rsid w:val="009C04D8"/>
    <w:rsid w:val="009C218B"/>
    <w:rsid w:val="009C31AF"/>
    <w:rsid w:val="009C4032"/>
    <w:rsid w:val="009D1B0A"/>
    <w:rsid w:val="009D2C93"/>
    <w:rsid w:val="009D31F2"/>
    <w:rsid w:val="009D40B8"/>
    <w:rsid w:val="009E14E1"/>
    <w:rsid w:val="009E45BA"/>
    <w:rsid w:val="009F1702"/>
    <w:rsid w:val="009F34DB"/>
    <w:rsid w:val="00A0753C"/>
    <w:rsid w:val="00A0797B"/>
    <w:rsid w:val="00A20E8E"/>
    <w:rsid w:val="00A2122A"/>
    <w:rsid w:val="00A21BD6"/>
    <w:rsid w:val="00A255BA"/>
    <w:rsid w:val="00A30073"/>
    <w:rsid w:val="00A35457"/>
    <w:rsid w:val="00A36004"/>
    <w:rsid w:val="00A40338"/>
    <w:rsid w:val="00A43E6F"/>
    <w:rsid w:val="00A446B8"/>
    <w:rsid w:val="00A44DB5"/>
    <w:rsid w:val="00A46605"/>
    <w:rsid w:val="00A47AFE"/>
    <w:rsid w:val="00A51CE8"/>
    <w:rsid w:val="00A529E5"/>
    <w:rsid w:val="00A52A74"/>
    <w:rsid w:val="00A53700"/>
    <w:rsid w:val="00A551E7"/>
    <w:rsid w:val="00A70293"/>
    <w:rsid w:val="00A7334B"/>
    <w:rsid w:val="00A855B9"/>
    <w:rsid w:val="00A92228"/>
    <w:rsid w:val="00AA0E82"/>
    <w:rsid w:val="00AA0F5D"/>
    <w:rsid w:val="00AA509A"/>
    <w:rsid w:val="00AB058E"/>
    <w:rsid w:val="00AB1917"/>
    <w:rsid w:val="00AB40A3"/>
    <w:rsid w:val="00AB418D"/>
    <w:rsid w:val="00AC0DF0"/>
    <w:rsid w:val="00AD2871"/>
    <w:rsid w:val="00AE117D"/>
    <w:rsid w:val="00AE2AF9"/>
    <w:rsid w:val="00AE7F46"/>
    <w:rsid w:val="00AF38BC"/>
    <w:rsid w:val="00AF525A"/>
    <w:rsid w:val="00B00853"/>
    <w:rsid w:val="00B1183F"/>
    <w:rsid w:val="00B1351E"/>
    <w:rsid w:val="00B15DF9"/>
    <w:rsid w:val="00B16599"/>
    <w:rsid w:val="00B17F00"/>
    <w:rsid w:val="00B20E3F"/>
    <w:rsid w:val="00B2346F"/>
    <w:rsid w:val="00B2418D"/>
    <w:rsid w:val="00B259AB"/>
    <w:rsid w:val="00B32A33"/>
    <w:rsid w:val="00B37233"/>
    <w:rsid w:val="00B411F5"/>
    <w:rsid w:val="00B4181A"/>
    <w:rsid w:val="00B448CA"/>
    <w:rsid w:val="00B515EC"/>
    <w:rsid w:val="00B575E9"/>
    <w:rsid w:val="00B63DFE"/>
    <w:rsid w:val="00B67551"/>
    <w:rsid w:val="00B7552F"/>
    <w:rsid w:val="00B75ADF"/>
    <w:rsid w:val="00B75FCE"/>
    <w:rsid w:val="00B77AEE"/>
    <w:rsid w:val="00B816EB"/>
    <w:rsid w:val="00B85E47"/>
    <w:rsid w:val="00B91F1F"/>
    <w:rsid w:val="00B921F3"/>
    <w:rsid w:val="00B93FE1"/>
    <w:rsid w:val="00B94107"/>
    <w:rsid w:val="00B94891"/>
    <w:rsid w:val="00B97565"/>
    <w:rsid w:val="00BA619E"/>
    <w:rsid w:val="00BA6833"/>
    <w:rsid w:val="00BA6967"/>
    <w:rsid w:val="00BB22E8"/>
    <w:rsid w:val="00BB2D43"/>
    <w:rsid w:val="00BB7B54"/>
    <w:rsid w:val="00BC0D57"/>
    <w:rsid w:val="00BC190F"/>
    <w:rsid w:val="00BD108F"/>
    <w:rsid w:val="00BD58C5"/>
    <w:rsid w:val="00BE0825"/>
    <w:rsid w:val="00BE2D21"/>
    <w:rsid w:val="00BE3543"/>
    <w:rsid w:val="00BF1505"/>
    <w:rsid w:val="00BF1509"/>
    <w:rsid w:val="00BF1B1A"/>
    <w:rsid w:val="00C0046A"/>
    <w:rsid w:val="00C054C3"/>
    <w:rsid w:val="00C057A4"/>
    <w:rsid w:val="00C07C8D"/>
    <w:rsid w:val="00C15427"/>
    <w:rsid w:val="00C20243"/>
    <w:rsid w:val="00C2140E"/>
    <w:rsid w:val="00C26373"/>
    <w:rsid w:val="00C27C30"/>
    <w:rsid w:val="00C30B61"/>
    <w:rsid w:val="00C31250"/>
    <w:rsid w:val="00C32A13"/>
    <w:rsid w:val="00C3478D"/>
    <w:rsid w:val="00C351CE"/>
    <w:rsid w:val="00C36D57"/>
    <w:rsid w:val="00C377B9"/>
    <w:rsid w:val="00C37F84"/>
    <w:rsid w:val="00C43C6A"/>
    <w:rsid w:val="00C52E9C"/>
    <w:rsid w:val="00C57539"/>
    <w:rsid w:val="00C601DA"/>
    <w:rsid w:val="00C70724"/>
    <w:rsid w:val="00C70F88"/>
    <w:rsid w:val="00C737D0"/>
    <w:rsid w:val="00C73D9F"/>
    <w:rsid w:val="00C75BD6"/>
    <w:rsid w:val="00C808E7"/>
    <w:rsid w:val="00C82568"/>
    <w:rsid w:val="00C8315A"/>
    <w:rsid w:val="00C845EF"/>
    <w:rsid w:val="00C8701F"/>
    <w:rsid w:val="00C93382"/>
    <w:rsid w:val="00CA51F5"/>
    <w:rsid w:val="00CA5315"/>
    <w:rsid w:val="00CB5E1F"/>
    <w:rsid w:val="00CC0296"/>
    <w:rsid w:val="00CC1C4D"/>
    <w:rsid w:val="00CC1E5E"/>
    <w:rsid w:val="00CC2511"/>
    <w:rsid w:val="00CC2BCB"/>
    <w:rsid w:val="00CC500D"/>
    <w:rsid w:val="00CD0C81"/>
    <w:rsid w:val="00CD331D"/>
    <w:rsid w:val="00CD3DA4"/>
    <w:rsid w:val="00CD50B7"/>
    <w:rsid w:val="00CD515E"/>
    <w:rsid w:val="00CF0101"/>
    <w:rsid w:val="00CF0786"/>
    <w:rsid w:val="00CF0BF0"/>
    <w:rsid w:val="00CF4D25"/>
    <w:rsid w:val="00CF5D9E"/>
    <w:rsid w:val="00CF6473"/>
    <w:rsid w:val="00D069D4"/>
    <w:rsid w:val="00D07F9A"/>
    <w:rsid w:val="00D101A1"/>
    <w:rsid w:val="00D11812"/>
    <w:rsid w:val="00D24D3A"/>
    <w:rsid w:val="00D27F57"/>
    <w:rsid w:val="00D30D61"/>
    <w:rsid w:val="00D33187"/>
    <w:rsid w:val="00D36259"/>
    <w:rsid w:val="00D37CA7"/>
    <w:rsid w:val="00D43F28"/>
    <w:rsid w:val="00D53238"/>
    <w:rsid w:val="00D5344B"/>
    <w:rsid w:val="00D605FB"/>
    <w:rsid w:val="00D647E3"/>
    <w:rsid w:val="00D679C8"/>
    <w:rsid w:val="00D67FAF"/>
    <w:rsid w:val="00D710BD"/>
    <w:rsid w:val="00D718E6"/>
    <w:rsid w:val="00D747C8"/>
    <w:rsid w:val="00D74A54"/>
    <w:rsid w:val="00D83100"/>
    <w:rsid w:val="00D84016"/>
    <w:rsid w:val="00D84348"/>
    <w:rsid w:val="00D90D59"/>
    <w:rsid w:val="00DA05E7"/>
    <w:rsid w:val="00DA2BCE"/>
    <w:rsid w:val="00DA369D"/>
    <w:rsid w:val="00DA3B38"/>
    <w:rsid w:val="00DA3D1B"/>
    <w:rsid w:val="00DA5654"/>
    <w:rsid w:val="00DB1A1D"/>
    <w:rsid w:val="00DB2A63"/>
    <w:rsid w:val="00DB3145"/>
    <w:rsid w:val="00DB3994"/>
    <w:rsid w:val="00DB3E5B"/>
    <w:rsid w:val="00DB6EDB"/>
    <w:rsid w:val="00DC310B"/>
    <w:rsid w:val="00DC665C"/>
    <w:rsid w:val="00DC67D6"/>
    <w:rsid w:val="00DC6988"/>
    <w:rsid w:val="00DC6B4E"/>
    <w:rsid w:val="00DC6EC0"/>
    <w:rsid w:val="00DD13ED"/>
    <w:rsid w:val="00DE3216"/>
    <w:rsid w:val="00DE32D8"/>
    <w:rsid w:val="00DE5B23"/>
    <w:rsid w:val="00DF27AB"/>
    <w:rsid w:val="00DF2CC4"/>
    <w:rsid w:val="00E00421"/>
    <w:rsid w:val="00E0045D"/>
    <w:rsid w:val="00E05A25"/>
    <w:rsid w:val="00E061AD"/>
    <w:rsid w:val="00E07077"/>
    <w:rsid w:val="00E11291"/>
    <w:rsid w:val="00E122E6"/>
    <w:rsid w:val="00E149BA"/>
    <w:rsid w:val="00E1646E"/>
    <w:rsid w:val="00E240D4"/>
    <w:rsid w:val="00E27A30"/>
    <w:rsid w:val="00E37997"/>
    <w:rsid w:val="00E37C54"/>
    <w:rsid w:val="00E50310"/>
    <w:rsid w:val="00E50FF5"/>
    <w:rsid w:val="00E51FE4"/>
    <w:rsid w:val="00E53FA5"/>
    <w:rsid w:val="00E601F4"/>
    <w:rsid w:val="00E65B59"/>
    <w:rsid w:val="00E751D5"/>
    <w:rsid w:val="00E82666"/>
    <w:rsid w:val="00E854F0"/>
    <w:rsid w:val="00E87AA6"/>
    <w:rsid w:val="00E87B14"/>
    <w:rsid w:val="00E91221"/>
    <w:rsid w:val="00E94840"/>
    <w:rsid w:val="00E954D0"/>
    <w:rsid w:val="00E95B21"/>
    <w:rsid w:val="00EA092D"/>
    <w:rsid w:val="00EA0F0F"/>
    <w:rsid w:val="00EA4B74"/>
    <w:rsid w:val="00EB484D"/>
    <w:rsid w:val="00EB5F4E"/>
    <w:rsid w:val="00EC3DAF"/>
    <w:rsid w:val="00EC4380"/>
    <w:rsid w:val="00EC4C89"/>
    <w:rsid w:val="00ED17B5"/>
    <w:rsid w:val="00ED1917"/>
    <w:rsid w:val="00ED53F1"/>
    <w:rsid w:val="00ED79C0"/>
    <w:rsid w:val="00EE49DB"/>
    <w:rsid w:val="00EE6952"/>
    <w:rsid w:val="00EF4DB9"/>
    <w:rsid w:val="00EF66A3"/>
    <w:rsid w:val="00F002E0"/>
    <w:rsid w:val="00F0073E"/>
    <w:rsid w:val="00F02E75"/>
    <w:rsid w:val="00F03933"/>
    <w:rsid w:val="00F05BDD"/>
    <w:rsid w:val="00F10F7E"/>
    <w:rsid w:val="00F131BD"/>
    <w:rsid w:val="00F16A20"/>
    <w:rsid w:val="00F209DC"/>
    <w:rsid w:val="00F25346"/>
    <w:rsid w:val="00F31C67"/>
    <w:rsid w:val="00F32568"/>
    <w:rsid w:val="00F35747"/>
    <w:rsid w:val="00F36048"/>
    <w:rsid w:val="00F37B5D"/>
    <w:rsid w:val="00F44ACE"/>
    <w:rsid w:val="00F44D70"/>
    <w:rsid w:val="00F46BA3"/>
    <w:rsid w:val="00F4731E"/>
    <w:rsid w:val="00F4743F"/>
    <w:rsid w:val="00F5319E"/>
    <w:rsid w:val="00F53660"/>
    <w:rsid w:val="00F551A0"/>
    <w:rsid w:val="00F56A12"/>
    <w:rsid w:val="00F653DC"/>
    <w:rsid w:val="00F702BD"/>
    <w:rsid w:val="00F71CC9"/>
    <w:rsid w:val="00F71D7A"/>
    <w:rsid w:val="00F72796"/>
    <w:rsid w:val="00F73E29"/>
    <w:rsid w:val="00F8023A"/>
    <w:rsid w:val="00F93BE6"/>
    <w:rsid w:val="00F9675F"/>
    <w:rsid w:val="00F97FD5"/>
    <w:rsid w:val="00FA0B47"/>
    <w:rsid w:val="00FA2C7F"/>
    <w:rsid w:val="00FA2D9E"/>
    <w:rsid w:val="00FA4C37"/>
    <w:rsid w:val="00FB0461"/>
    <w:rsid w:val="00FC663D"/>
    <w:rsid w:val="00FD2A99"/>
    <w:rsid w:val="00FD36E6"/>
    <w:rsid w:val="00FD554F"/>
    <w:rsid w:val="00FD6B13"/>
    <w:rsid w:val="00FE224E"/>
    <w:rsid w:val="00FE3E50"/>
    <w:rsid w:val="00FE4BC8"/>
    <w:rsid w:val="00FF48DF"/>
    <w:rsid w:val="00FF4A9B"/>
    <w:rsid w:val="00FF6C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1FF8FF3-FD13-4456-9320-5143077D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60D5"/>
    <w:rPr>
      <w:rFonts w:eastAsia="MS Mincho"/>
      <w:noProof/>
      <w:sz w:val="24"/>
      <w:szCs w:val="24"/>
      <w:lang w:val="sq-AL" w:eastAsia="en-US"/>
    </w:rPr>
  </w:style>
  <w:style w:type="paragraph" w:styleId="Heading1">
    <w:name w:val="heading 1"/>
    <w:basedOn w:val="Normal"/>
    <w:next w:val="Normal"/>
    <w:qFormat/>
    <w:rsid w:val="00B20E3F"/>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20E3F"/>
    <w:pPr>
      <w:spacing w:after="160" w:line="240" w:lineRule="exact"/>
    </w:pPr>
    <w:rPr>
      <w:rFonts w:ascii="Tahoma" w:hAnsi="Tahoma"/>
      <w:sz w:val="20"/>
      <w:szCs w:val="20"/>
      <w:lang w:val="en-GB"/>
    </w:rPr>
  </w:style>
  <w:style w:type="character" w:customStyle="1" w:styleId="CharChar1">
    <w:name w:val=" Char Char1"/>
    <w:basedOn w:val="DefaultParagraphFont"/>
    <w:rsid w:val="00B20E3F"/>
    <w:rPr>
      <w:rFonts w:ascii="Trebuchet MS" w:eastAsia="MS Mincho" w:hAnsi="Trebuchet MS"/>
      <w:lang w:val="en-GB" w:eastAsia="en-US" w:bidi="ar-SA"/>
    </w:rPr>
  </w:style>
  <w:style w:type="paragraph" w:customStyle="1" w:styleId="ADDRESS">
    <w:name w:val="ADDRESS"/>
    <w:basedOn w:val="Normal"/>
    <w:rsid w:val="00B20E3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20E3F"/>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B20E3F"/>
    <w:rPr>
      <w:rFonts w:ascii="CG Times" w:hAnsi="CG Times"/>
      <w:sz w:val="22"/>
      <w:lang w:eastAsia="en-US"/>
    </w:rPr>
  </w:style>
  <w:style w:type="paragraph" w:customStyle="1" w:styleId="AneksiNr">
    <w:name w:val="Aneksi_Nr"/>
    <w:next w:val="Normal"/>
    <w:rsid w:val="00B20E3F"/>
    <w:pPr>
      <w:keepNext/>
      <w:widowControl w:val="0"/>
      <w:jc w:val="center"/>
    </w:pPr>
    <w:rPr>
      <w:rFonts w:ascii="CG Times" w:hAnsi="CG Times"/>
      <w:caps/>
      <w:sz w:val="22"/>
      <w:szCs w:val="22"/>
      <w:lang w:eastAsia="en-US"/>
    </w:rPr>
  </w:style>
  <w:style w:type="paragraph" w:customStyle="1" w:styleId="AneksiTitull">
    <w:name w:val="Aneksi_Titull"/>
    <w:next w:val="Normal"/>
    <w:rsid w:val="00B20E3F"/>
    <w:pPr>
      <w:jc w:val="center"/>
    </w:pPr>
    <w:rPr>
      <w:rFonts w:ascii="CG Times" w:hAnsi="CG Times"/>
      <w:sz w:val="24"/>
      <w:szCs w:val="24"/>
      <w:lang w:eastAsia="en-US"/>
    </w:rPr>
  </w:style>
  <w:style w:type="paragraph" w:customStyle="1" w:styleId="Autoriteti">
    <w:name w:val="Autoriteti"/>
    <w:next w:val="Normal"/>
    <w:rsid w:val="00B20E3F"/>
    <w:pPr>
      <w:keepNext/>
      <w:widowControl w:val="0"/>
      <w:jc w:val="right"/>
    </w:pPr>
    <w:rPr>
      <w:rFonts w:ascii="CG Times" w:hAnsi="CG Times"/>
      <w:caps/>
      <w:sz w:val="22"/>
      <w:szCs w:val="22"/>
      <w:lang w:eastAsia="en-US"/>
    </w:rPr>
  </w:style>
  <w:style w:type="paragraph" w:customStyle="1" w:styleId="AutoritetiEmer">
    <w:name w:val="Autoriteti_Emer"/>
    <w:next w:val="Normal"/>
    <w:rsid w:val="00B20E3F"/>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B20E3F"/>
    <w:rPr>
      <w:rFonts w:ascii="CG Times" w:eastAsia="MS Mincho" w:hAnsi="CG Times"/>
      <w:b/>
      <w:sz w:val="22"/>
      <w:szCs w:val="22"/>
      <w:lang w:val="en-GB" w:eastAsia="en-US" w:bidi="ar-SA"/>
    </w:rPr>
  </w:style>
  <w:style w:type="paragraph" w:customStyle="1" w:styleId="BazLigjPropozues">
    <w:name w:val="Baz_Ligj_Propozues"/>
    <w:rsid w:val="00B20E3F"/>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B20E3F"/>
    <w:pPr>
      <w:spacing w:after="240" w:line="240" w:lineRule="atLeast"/>
      <w:ind w:left="1134"/>
      <w:jc w:val="both"/>
    </w:pPr>
    <w:rPr>
      <w:rFonts w:ascii="Arial" w:hAnsi="Arial"/>
      <w:sz w:val="20"/>
      <w:szCs w:val="20"/>
      <w:lang w:val="en-GB"/>
    </w:rPr>
  </w:style>
  <w:style w:type="paragraph" w:customStyle="1" w:styleId="bcparaa">
    <w:name w:val="bc para (a)"/>
    <w:basedOn w:val="Normal"/>
    <w:rsid w:val="00B20E3F"/>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B20E3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B20E3F"/>
    <w:pPr>
      <w:widowControl w:val="0"/>
      <w:spacing w:after="720"/>
      <w:ind w:left="1843" w:hanging="709"/>
      <w:jc w:val="both"/>
    </w:pPr>
    <w:rPr>
      <w:rFonts w:ascii="Arial" w:hAnsi="Arial"/>
      <w:sz w:val="20"/>
      <w:szCs w:val="20"/>
      <w:lang w:val="en-GB"/>
    </w:rPr>
  </w:style>
  <w:style w:type="paragraph" w:customStyle="1" w:styleId="Bllok">
    <w:name w:val="Bllok"/>
    <w:next w:val="Normal"/>
    <w:rsid w:val="00B20E3F"/>
    <w:pPr>
      <w:jc w:val="center"/>
    </w:pPr>
    <w:rPr>
      <w:rFonts w:ascii="CG Times" w:hAnsi="CG Times"/>
      <w:caps/>
      <w:sz w:val="22"/>
      <w:szCs w:val="22"/>
      <w:lang w:eastAsia="en-US"/>
    </w:rPr>
  </w:style>
  <w:style w:type="paragraph" w:customStyle="1" w:styleId="BoxText">
    <w:name w:val="Box Text"/>
    <w:basedOn w:val="Normal"/>
    <w:rsid w:val="00B20E3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B20E3F"/>
    <w:pPr>
      <w:widowControl w:val="0"/>
      <w:spacing w:before="240" w:after="240"/>
      <w:jc w:val="both"/>
    </w:pPr>
    <w:rPr>
      <w:rFonts w:ascii="Trebuchet MS" w:hAnsi="Trebuchet MS"/>
      <w:sz w:val="20"/>
      <w:szCs w:val="22"/>
    </w:rPr>
  </w:style>
  <w:style w:type="character" w:customStyle="1" w:styleId="bulletmenumraChar">
    <w:name w:val="bullet me numra Char"/>
    <w:basedOn w:val="DefaultParagraphFont"/>
    <w:rsid w:val="00B20E3F"/>
    <w:rPr>
      <w:rFonts w:ascii="Trebuchet MS" w:eastAsia="MS Mincho" w:hAnsi="Trebuchet MS"/>
      <w:szCs w:val="22"/>
      <w:lang w:val="en-GB" w:eastAsia="en-US" w:bidi="ar-SA"/>
    </w:rPr>
  </w:style>
  <w:style w:type="paragraph" w:customStyle="1" w:styleId="bulletmeshkronja">
    <w:name w:val="bullet me shkronja"/>
    <w:basedOn w:val="Normal"/>
    <w:rsid w:val="00B20E3F"/>
    <w:pPr>
      <w:widowControl w:val="0"/>
      <w:spacing w:before="60" w:after="60"/>
      <w:jc w:val="both"/>
    </w:pPr>
    <w:rPr>
      <w:rFonts w:ascii="Trebuchet MS" w:hAnsi="Trebuchet MS"/>
      <w:sz w:val="22"/>
      <w:szCs w:val="22"/>
    </w:rPr>
  </w:style>
  <w:style w:type="paragraph" w:customStyle="1" w:styleId="BULLETUDHEZIM">
    <w:name w:val="BULLET UDHEZIM"/>
    <w:basedOn w:val="Normal"/>
    <w:rsid w:val="00B20E3F"/>
    <w:pPr>
      <w:widowControl w:val="0"/>
      <w:tabs>
        <w:tab w:val="num" w:pos="360"/>
      </w:tabs>
      <w:spacing w:before="120" w:after="120"/>
      <w:jc w:val="both"/>
    </w:pPr>
    <w:rPr>
      <w:rFonts w:ascii="Book Antiqua" w:hAnsi="Book Antiqua"/>
      <w:sz w:val="22"/>
      <w:szCs w:val="22"/>
    </w:rPr>
  </w:style>
  <w:style w:type="character" w:customStyle="1" w:styleId="CharChar">
    <w:name w:val="Char Char"/>
    <w:basedOn w:val="DefaultParagraphFont"/>
    <w:locked/>
    <w:rsid w:val="00B20E3F"/>
    <w:rPr>
      <w:rFonts w:ascii="Trebuchet MS" w:eastAsia="MS Mincho" w:hAnsi="Trebuchet MS"/>
      <w:sz w:val="22"/>
      <w:lang w:val="en-GB" w:eastAsia="en-US" w:bidi="ar-SA"/>
    </w:rPr>
  </w:style>
  <w:style w:type="paragraph" w:customStyle="1" w:styleId="Default">
    <w:name w:val="Default"/>
    <w:rsid w:val="00B20E3F"/>
    <w:pPr>
      <w:autoSpaceDE w:val="0"/>
      <w:autoSpaceDN w:val="0"/>
      <w:adjustRightInd w:val="0"/>
    </w:pPr>
    <w:rPr>
      <w:rFonts w:eastAsia="MS Mincho"/>
      <w:color w:val="000000"/>
      <w:sz w:val="24"/>
      <w:szCs w:val="24"/>
      <w:lang w:val="en-US" w:eastAsia="en-US"/>
    </w:rPr>
  </w:style>
  <w:style w:type="paragraph" w:customStyle="1" w:styleId="extraclauses">
    <w:name w:val="extra_clauses"/>
    <w:basedOn w:val="Normal"/>
    <w:rsid w:val="00B20E3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20E3F"/>
    <w:pPr>
      <w:widowControl w:val="0"/>
      <w:outlineLvl w:val="2"/>
    </w:pPr>
    <w:rPr>
      <w:rFonts w:ascii="CG Times" w:hAnsi="CG Times"/>
      <w:sz w:val="22"/>
      <w:lang w:val="en-US" w:eastAsia="en-US"/>
    </w:rPr>
  </w:style>
  <w:style w:type="paragraph" w:customStyle="1" w:styleId="footnote">
    <w:name w:val="footnote"/>
    <w:basedOn w:val="Normal"/>
    <w:rsid w:val="00B20E3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B20E3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B20E3F"/>
    <w:rPr>
      <w:rFonts w:ascii="Trebuchet MS" w:eastAsia="MS Mincho" w:hAnsi="Trebuchet MS"/>
      <w:sz w:val="18"/>
      <w:lang w:val="en-GB" w:eastAsia="en-US" w:bidi="ar-SA"/>
    </w:rPr>
  </w:style>
  <w:style w:type="character" w:customStyle="1" w:styleId="Heading1CharChar">
    <w:name w:val="Heading 1 Char Char"/>
    <w:basedOn w:val="DefaultParagraphFont"/>
    <w:rsid w:val="00B20E3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B20E3F"/>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B20E3F"/>
    <w:rPr>
      <w:rFonts w:ascii="Trebuchet MS" w:eastAsia="MS Mincho" w:hAnsi="Trebuchet MS" w:cs="Arial"/>
      <w:b/>
      <w:bCs/>
      <w:sz w:val="24"/>
      <w:szCs w:val="24"/>
      <w:lang w:val="en-US" w:eastAsia="en-US" w:bidi="ar-SA"/>
    </w:rPr>
  </w:style>
  <w:style w:type="paragraph" w:customStyle="1" w:styleId="hyrje">
    <w:name w:val="hyrje"/>
    <w:basedOn w:val="Heading1"/>
    <w:rsid w:val="00B20E3F"/>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B20E3F"/>
    <w:pPr>
      <w:keepNext/>
      <w:widowControl w:val="0"/>
      <w:jc w:val="center"/>
    </w:pPr>
    <w:rPr>
      <w:rFonts w:ascii="CG Times" w:hAnsi="CG Times"/>
      <w:caps/>
      <w:sz w:val="22"/>
      <w:szCs w:val="22"/>
      <w:lang w:eastAsia="en-US"/>
    </w:rPr>
  </w:style>
  <w:style w:type="paragraph" w:customStyle="1" w:styleId="Kapakufund">
    <w:name w:val="Kapaku_fund"/>
    <w:next w:val="Normal"/>
    <w:rsid w:val="00B20E3F"/>
    <w:pPr>
      <w:pageBreakBefore/>
    </w:pPr>
    <w:rPr>
      <w:rFonts w:ascii="CG Times" w:hAnsi="CG Times"/>
      <w:b/>
      <w:sz w:val="22"/>
      <w:szCs w:val="22"/>
      <w:lang w:val="en-US" w:eastAsia="en-US"/>
    </w:rPr>
  </w:style>
  <w:style w:type="paragraph" w:customStyle="1" w:styleId="KapitulliNr">
    <w:name w:val="Kapitulli_Nr"/>
    <w:rsid w:val="00B20E3F"/>
    <w:pPr>
      <w:keepNext/>
      <w:widowControl w:val="0"/>
      <w:jc w:val="center"/>
    </w:pPr>
    <w:rPr>
      <w:rFonts w:ascii="CG Times" w:hAnsi="CG Times"/>
      <w:caps/>
      <w:sz w:val="22"/>
      <w:szCs w:val="22"/>
      <w:lang w:eastAsia="en-US"/>
    </w:rPr>
  </w:style>
  <w:style w:type="paragraph" w:customStyle="1" w:styleId="KapitulliTitull">
    <w:name w:val="Kapitulli_Titull"/>
    <w:rsid w:val="00B20E3F"/>
    <w:pPr>
      <w:keepNext/>
      <w:widowControl w:val="0"/>
      <w:jc w:val="center"/>
    </w:pPr>
    <w:rPr>
      <w:rFonts w:ascii="CG Times" w:hAnsi="CG Times"/>
      <w:caps/>
      <w:sz w:val="22"/>
      <w:szCs w:val="22"/>
      <w:lang w:eastAsia="en-US"/>
    </w:rPr>
  </w:style>
  <w:style w:type="paragraph" w:customStyle="1" w:styleId="KreuNr">
    <w:name w:val="Kreu_Nr"/>
    <w:rsid w:val="00B20E3F"/>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B20E3F"/>
    <w:pPr>
      <w:keepNext/>
      <w:widowControl w:val="0"/>
      <w:jc w:val="center"/>
    </w:pPr>
    <w:rPr>
      <w:rFonts w:ascii="CG Times" w:hAnsi="CG Times"/>
      <w:caps/>
      <w:sz w:val="22"/>
      <w:szCs w:val="22"/>
      <w:lang w:val="en-US" w:eastAsia="en-US"/>
    </w:rPr>
  </w:style>
  <w:style w:type="paragraph" w:customStyle="1" w:styleId="Level11">
    <w:name w:val="Level 1.1"/>
    <w:basedOn w:val="Normal"/>
    <w:rsid w:val="00B20E3F"/>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B20E3F"/>
    <w:pPr>
      <w:widowControl w:val="0"/>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B20E3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B20E3F"/>
    <w:rPr>
      <w:rFonts w:ascii="Trebuchet MS" w:eastAsia="MS Mincho" w:hAnsi="Trebuchet MS"/>
      <w:sz w:val="22"/>
      <w:szCs w:val="22"/>
      <w:lang w:val="en-US" w:eastAsia="en-US" w:bidi="ar-SA"/>
    </w:rPr>
  </w:style>
  <w:style w:type="paragraph" w:customStyle="1" w:styleId="listmenumra">
    <w:name w:val="list me numra"/>
    <w:basedOn w:val="ListBullet2"/>
    <w:rsid w:val="00B20E3F"/>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20E3F"/>
    <w:pPr>
      <w:numPr>
        <w:numId w:val="1"/>
      </w:numPr>
    </w:pPr>
  </w:style>
  <w:style w:type="character" w:customStyle="1" w:styleId="listmenumraCharChar">
    <w:name w:val="list me numra Char Char"/>
    <w:basedOn w:val="ListBullet2Char"/>
    <w:rsid w:val="00B20E3F"/>
    <w:rPr>
      <w:rFonts w:ascii="Trebuchet MS" w:eastAsia="MS Mincho" w:hAnsi="Trebuchet MS"/>
      <w:sz w:val="22"/>
      <w:szCs w:val="22"/>
      <w:lang w:val="en-US" w:eastAsia="en-US" w:bidi="ar-SA"/>
    </w:rPr>
  </w:style>
  <w:style w:type="paragraph" w:customStyle="1" w:styleId="Ndryshimet">
    <w:name w:val="Ndryshimet"/>
    <w:next w:val="Normal"/>
    <w:rsid w:val="00B20E3F"/>
    <w:pPr>
      <w:keepNext/>
      <w:widowControl w:val="0"/>
      <w:jc w:val="center"/>
    </w:pPr>
    <w:rPr>
      <w:rFonts w:ascii="CG Times" w:hAnsi="CG Times"/>
      <w:i/>
      <w:sz w:val="22"/>
      <w:lang w:val="en-US" w:eastAsia="en-US"/>
    </w:rPr>
  </w:style>
  <w:style w:type="paragraph" w:customStyle="1" w:styleId="NeniNr">
    <w:name w:val="Neni_Nr"/>
    <w:next w:val="Normal"/>
    <w:rsid w:val="00B20E3F"/>
    <w:pPr>
      <w:keepNext/>
      <w:widowControl w:val="0"/>
      <w:jc w:val="center"/>
    </w:pPr>
    <w:rPr>
      <w:rFonts w:ascii="CG Times" w:hAnsi="CG Times"/>
      <w:sz w:val="22"/>
      <w:lang w:eastAsia="en-US"/>
    </w:rPr>
  </w:style>
  <w:style w:type="paragraph" w:customStyle="1" w:styleId="NeniTitull">
    <w:name w:val="Neni_Titull"/>
    <w:next w:val="Normal"/>
    <w:rsid w:val="00B20E3F"/>
    <w:pPr>
      <w:keepNext/>
      <w:widowControl w:val="0"/>
      <w:jc w:val="center"/>
      <w:outlineLvl w:val="2"/>
    </w:pPr>
    <w:rPr>
      <w:rFonts w:ascii="CG Times" w:hAnsi="CG Times"/>
      <w:b/>
      <w:sz w:val="22"/>
      <w:lang w:eastAsia="en-US"/>
    </w:rPr>
  </w:style>
  <w:style w:type="paragraph" w:customStyle="1" w:styleId="NenkreuNr">
    <w:name w:val="Nenkreu_Nr"/>
    <w:rsid w:val="00B20E3F"/>
    <w:pPr>
      <w:keepNext/>
      <w:widowControl w:val="0"/>
      <w:jc w:val="center"/>
    </w:pPr>
    <w:rPr>
      <w:rFonts w:ascii="CG Times" w:hAnsi="CG Times"/>
      <w:caps/>
      <w:sz w:val="22"/>
      <w:szCs w:val="22"/>
      <w:lang w:eastAsia="en-US"/>
    </w:rPr>
  </w:style>
  <w:style w:type="paragraph" w:customStyle="1" w:styleId="NenkreuTitull">
    <w:name w:val="Nenkreu_Titull"/>
    <w:rsid w:val="00B20E3F"/>
    <w:pPr>
      <w:jc w:val="center"/>
    </w:pPr>
    <w:rPr>
      <w:rFonts w:ascii="CG Times" w:hAnsi="CG Times"/>
      <w:caps/>
      <w:sz w:val="22"/>
      <w:szCs w:val="22"/>
      <w:lang w:eastAsia="en-US"/>
    </w:rPr>
  </w:style>
  <w:style w:type="paragraph" w:customStyle="1" w:styleId="Nenpika">
    <w:name w:val="Nenpika"/>
    <w:next w:val="Normal"/>
    <w:autoRedefine/>
    <w:rsid w:val="00B20E3F"/>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B20E3F"/>
    <w:pPr>
      <w:spacing w:after="120"/>
      <w:jc w:val="both"/>
    </w:pPr>
    <w:rPr>
      <w:rFonts w:ascii="Bookman Old Style" w:hAnsi="Bookman Old Style"/>
      <w:sz w:val="20"/>
      <w:szCs w:val="20"/>
      <w:lang w:val="en-GB"/>
    </w:rPr>
  </w:style>
  <w:style w:type="paragraph" w:customStyle="1" w:styleId="numberedindent">
    <w:name w:val="numberedindent"/>
    <w:rsid w:val="00B20E3F"/>
    <w:pPr>
      <w:tabs>
        <w:tab w:val="num" w:pos="1800"/>
      </w:tabs>
      <w:spacing w:after="120"/>
      <w:jc w:val="both"/>
    </w:pPr>
    <w:rPr>
      <w:rFonts w:ascii="Arial" w:eastAsia="MS Mincho" w:hAnsi="Arial"/>
      <w:lang w:eastAsia="en-US"/>
    </w:rPr>
  </w:style>
  <w:style w:type="paragraph" w:customStyle="1" w:styleId="NumriData">
    <w:name w:val="Numri_Data"/>
    <w:next w:val="Normal"/>
    <w:rsid w:val="00B20E3F"/>
    <w:pPr>
      <w:keepNext/>
      <w:widowControl w:val="0"/>
      <w:jc w:val="center"/>
      <w:outlineLvl w:val="0"/>
    </w:pPr>
    <w:rPr>
      <w:rFonts w:ascii="CG Times" w:hAnsi="CG Times"/>
      <w:b/>
      <w:sz w:val="22"/>
      <w:lang w:eastAsia="en-US"/>
    </w:rPr>
  </w:style>
  <w:style w:type="paragraph" w:customStyle="1" w:styleId="para">
    <w:name w:val="para"/>
    <w:basedOn w:val="Normal"/>
    <w:rsid w:val="00B20E3F"/>
    <w:pPr>
      <w:widowControl w:val="0"/>
      <w:spacing w:before="120" w:after="240"/>
      <w:jc w:val="both"/>
    </w:pPr>
    <w:rPr>
      <w:rFonts w:ascii="Trebuchet MS" w:hAnsi="Trebuchet MS"/>
      <w:sz w:val="22"/>
      <w:szCs w:val="22"/>
    </w:rPr>
  </w:style>
  <w:style w:type="character" w:customStyle="1" w:styleId="paraChar">
    <w:name w:val="para Char"/>
    <w:basedOn w:val="DefaultParagraphFont"/>
    <w:rsid w:val="00B20E3F"/>
    <w:rPr>
      <w:rFonts w:ascii="Arial" w:eastAsia="MS Mincho" w:hAnsi="Arial"/>
      <w:sz w:val="22"/>
      <w:szCs w:val="24"/>
      <w:lang w:val="en-US" w:eastAsia="en-US" w:bidi="ar-SA"/>
    </w:rPr>
  </w:style>
  <w:style w:type="paragraph" w:customStyle="1" w:styleId="Paragrafi">
    <w:name w:val="Paragrafi"/>
    <w:link w:val="ParagrafiChar"/>
    <w:rsid w:val="00B20E3F"/>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B20E3F"/>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B20E3F"/>
    <w:pPr>
      <w:ind w:left="720"/>
    </w:pPr>
  </w:style>
  <w:style w:type="paragraph" w:customStyle="1" w:styleId="Pas">
    <w:name w:val="Pas"/>
    <w:basedOn w:val="Normal"/>
    <w:rsid w:val="00B20E3F"/>
    <w:pPr>
      <w:widowControl w:val="0"/>
    </w:pPr>
    <w:rPr>
      <w:rFonts w:ascii="CG Times" w:hAnsi="CG Times"/>
      <w:sz w:val="22"/>
      <w:szCs w:val="22"/>
    </w:rPr>
  </w:style>
  <w:style w:type="paragraph" w:customStyle="1" w:styleId="Pika">
    <w:name w:val="Pika"/>
    <w:next w:val="Normal"/>
    <w:autoRedefine/>
    <w:rsid w:val="00B20E3F"/>
    <w:pPr>
      <w:ind w:firstLine="720"/>
    </w:pPr>
    <w:rPr>
      <w:rFonts w:ascii="CG Times" w:hAnsi="CG Times"/>
      <w:sz w:val="22"/>
      <w:lang w:val="en-US" w:eastAsia="en-US"/>
    </w:rPr>
  </w:style>
  <w:style w:type="paragraph" w:customStyle="1" w:styleId="PikeKreu">
    <w:name w:val="Pike_Kreu"/>
    <w:basedOn w:val="Heading1"/>
    <w:rsid w:val="00B20E3F"/>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B20E3F"/>
    <w:pPr>
      <w:keepNext/>
      <w:widowControl w:val="0"/>
      <w:jc w:val="center"/>
    </w:pPr>
    <w:rPr>
      <w:rFonts w:ascii="CG Times" w:hAnsi="CG Times"/>
      <w:caps/>
      <w:sz w:val="22"/>
      <w:szCs w:val="22"/>
      <w:lang w:eastAsia="en-US"/>
    </w:rPr>
  </w:style>
  <w:style w:type="paragraph" w:customStyle="1" w:styleId="PjesaTitull">
    <w:name w:val="Pjesa_Titull"/>
    <w:rsid w:val="00B20E3F"/>
    <w:pPr>
      <w:keepNext/>
      <w:widowControl w:val="0"/>
      <w:jc w:val="center"/>
    </w:pPr>
    <w:rPr>
      <w:rFonts w:ascii="CG Times" w:hAnsi="CG Times"/>
      <w:caps/>
      <w:sz w:val="22"/>
      <w:szCs w:val="22"/>
      <w:lang w:eastAsia="en-US"/>
    </w:rPr>
  </w:style>
  <w:style w:type="paragraph" w:customStyle="1" w:styleId="Section">
    <w:name w:val="Section"/>
    <w:rsid w:val="00B20E3F"/>
    <w:rPr>
      <w:rFonts w:ascii="Arial" w:eastAsia="MS Mincho" w:hAnsi="Arial" w:cs="Arial"/>
      <w:bCs/>
      <w:kern w:val="32"/>
      <w:sz w:val="48"/>
      <w:szCs w:val="32"/>
      <w:lang w:val="en-US" w:eastAsia="en-US"/>
    </w:rPr>
  </w:style>
  <w:style w:type="paragraph" w:customStyle="1" w:styleId="SectionNUM">
    <w:name w:val="Section NUM"/>
    <w:next w:val="Heading1"/>
    <w:rsid w:val="00B20E3F"/>
    <w:pPr>
      <w:keepNext/>
      <w:pageBreakBefore/>
      <w:tabs>
        <w:tab w:val="num" w:pos="720"/>
      </w:tabs>
      <w:spacing w:after="240"/>
      <w:ind w:left="720" w:hanging="360"/>
    </w:pPr>
    <w:rPr>
      <w:rFonts w:ascii="Trebuchet MS" w:eastAsia="MS Mincho" w:hAnsi="Trebuchet MS"/>
      <w:b/>
      <w:kern w:val="32"/>
      <w:sz w:val="36"/>
      <w:lang w:eastAsia="en-US"/>
    </w:rPr>
  </w:style>
  <w:style w:type="paragraph" w:customStyle="1" w:styleId="Shpallja">
    <w:name w:val="Shpallja"/>
    <w:rsid w:val="00B20E3F"/>
    <w:pPr>
      <w:widowControl w:val="0"/>
      <w:jc w:val="both"/>
    </w:pPr>
    <w:rPr>
      <w:rFonts w:ascii="CG Times" w:hAnsi="CG Times"/>
      <w:b/>
      <w:color w:val="000000"/>
      <w:sz w:val="22"/>
      <w:szCs w:val="22"/>
      <w:lang w:val="sq-AL" w:eastAsia="en-US"/>
    </w:rPr>
  </w:style>
  <w:style w:type="paragraph" w:customStyle="1" w:styleId="Style">
    <w:name w:val="Style"/>
    <w:rsid w:val="00B20E3F"/>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B20E3F"/>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B20E3F"/>
    <w:rPr>
      <w:rFonts w:ascii="Trebuchet MS" w:eastAsia="MS Mincho" w:hAnsi="Trebuchet MS"/>
      <w:sz w:val="18"/>
      <w:szCs w:val="18"/>
      <w:lang w:val="en-US" w:eastAsia="en-US" w:bidi="ar-SA"/>
    </w:rPr>
  </w:style>
  <w:style w:type="paragraph" w:customStyle="1" w:styleId="sub-list">
    <w:name w:val="sub-list"/>
    <w:rsid w:val="00B20E3F"/>
    <w:pPr>
      <w:spacing w:before="60" w:after="120"/>
    </w:pPr>
    <w:rPr>
      <w:rFonts w:ascii="Arial" w:eastAsia="MS Mincho" w:hAnsi="Arial"/>
      <w:sz w:val="22"/>
      <w:szCs w:val="24"/>
      <w:lang w:val="en-US" w:eastAsia="en-US"/>
    </w:rPr>
  </w:style>
  <w:style w:type="paragraph" w:customStyle="1" w:styleId="tabela">
    <w:name w:val="tabela"/>
    <w:basedOn w:val="Normal"/>
    <w:rsid w:val="00B20E3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B20E3F"/>
    <w:rPr>
      <w:rFonts w:ascii="CG Times" w:hAnsi="CG Times"/>
      <w:sz w:val="22"/>
      <w:lang w:eastAsia="en-US"/>
    </w:rPr>
  </w:style>
  <w:style w:type="paragraph" w:customStyle="1" w:styleId="Table">
    <w:name w:val="Table"/>
    <w:basedOn w:val="Normal"/>
    <w:next w:val="BodyText"/>
    <w:autoRedefine/>
    <w:rsid w:val="00B20E3F"/>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styleId="BodyText">
    <w:name w:val="Body Text"/>
    <w:basedOn w:val="Normal"/>
    <w:rsid w:val="00B20E3F"/>
    <w:pPr>
      <w:spacing w:after="120"/>
    </w:pPr>
  </w:style>
  <w:style w:type="paragraph" w:customStyle="1" w:styleId="TableFootnote">
    <w:name w:val="Table Footnote"/>
    <w:basedOn w:val="Normal"/>
    <w:rsid w:val="00B20E3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B20E3F"/>
    <w:pPr>
      <w:spacing w:before="40" w:after="40"/>
      <w:jc w:val="both"/>
    </w:pPr>
    <w:rPr>
      <w:rFonts w:ascii="Trebuchet MS" w:hAnsi="Trebuchet MS"/>
      <w:sz w:val="18"/>
      <w:szCs w:val="22"/>
      <w:lang w:val="it-IT"/>
    </w:rPr>
  </w:style>
  <w:style w:type="paragraph" w:customStyle="1" w:styleId="text">
    <w:name w:val="text"/>
    <w:basedOn w:val="Normal"/>
    <w:rsid w:val="00B20E3F"/>
    <w:pPr>
      <w:widowControl w:val="0"/>
      <w:ind w:left="709"/>
      <w:jc w:val="both"/>
    </w:pPr>
    <w:rPr>
      <w:rFonts w:ascii="Arial" w:hAnsi="Arial"/>
      <w:sz w:val="20"/>
      <w:szCs w:val="20"/>
      <w:lang w:val="fr-FR"/>
    </w:rPr>
  </w:style>
  <w:style w:type="paragraph" w:customStyle="1" w:styleId="Titulli">
    <w:name w:val="Titulli"/>
    <w:next w:val="Normal"/>
    <w:rsid w:val="00B20E3F"/>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B20E3F"/>
    <w:rPr>
      <w:rFonts w:ascii="CG Times" w:eastAsia="MS Mincho" w:hAnsi="CG Times"/>
      <w:b/>
      <w:caps/>
      <w:sz w:val="22"/>
      <w:szCs w:val="22"/>
      <w:lang w:val="en-GB" w:eastAsia="en-US" w:bidi="ar-SA"/>
    </w:rPr>
  </w:style>
  <w:style w:type="paragraph" w:customStyle="1" w:styleId="TitulliNr">
    <w:name w:val="Titulli_Nr"/>
    <w:rsid w:val="00B20E3F"/>
    <w:pPr>
      <w:keepNext/>
      <w:widowControl w:val="0"/>
      <w:jc w:val="center"/>
    </w:pPr>
    <w:rPr>
      <w:rFonts w:ascii="CG Times" w:hAnsi="CG Times"/>
      <w:caps/>
      <w:sz w:val="22"/>
      <w:szCs w:val="22"/>
      <w:lang w:eastAsia="en-US"/>
    </w:rPr>
  </w:style>
  <w:style w:type="paragraph" w:customStyle="1" w:styleId="TitulliTitull">
    <w:name w:val="Titulli_Titull"/>
    <w:rsid w:val="00B20E3F"/>
    <w:pPr>
      <w:keepNext/>
      <w:widowControl w:val="0"/>
      <w:jc w:val="center"/>
      <w:outlineLvl w:val="0"/>
    </w:pPr>
    <w:rPr>
      <w:rFonts w:ascii="CG Times" w:hAnsi="CG Times"/>
      <w:caps/>
      <w:sz w:val="22"/>
      <w:szCs w:val="22"/>
      <w:lang w:eastAsia="en-US"/>
    </w:rPr>
  </w:style>
  <w:style w:type="paragraph" w:customStyle="1" w:styleId="VENDOSI">
    <w:name w:val="VENDOSI"/>
    <w:next w:val="Normal"/>
    <w:rsid w:val="00B20E3F"/>
    <w:pPr>
      <w:keepNext/>
      <w:widowControl w:val="0"/>
      <w:jc w:val="center"/>
    </w:pPr>
    <w:rPr>
      <w:rFonts w:ascii="CG Times" w:hAnsi="CG Times"/>
      <w:caps/>
      <w:sz w:val="22"/>
      <w:szCs w:val="22"/>
      <w:lang w:eastAsia="en-US"/>
    </w:rPr>
  </w:style>
  <w:style w:type="paragraph" w:customStyle="1" w:styleId="xl22">
    <w:name w:val="xl22"/>
    <w:basedOn w:val="Normal"/>
    <w:rsid w:val="00B20E3F"/>
    <w:pPr>
      <w:spacing w:before="100" w:beforeAutospacing="1" w:after="100" w:afterAutospacing="1"/>
    </w:pPr>
    <w:rPr>
      <w:rFonts w:ascii="Book Antiqua" w:hAnsi="Book Antiqua"/>
      <w:b/>
      <w:bCs/>
      <w:sz w:val="20"/>
      <w:szCs w:val="20"/>
    </w:rPr>
  </w:style>
  <w:style w:type="paragraph" w:customStyle="1" w:styleId="xl23">
    <w:name w:val="xl23"/>
    <w:basedOn w:val="Normal"/>
    <w:rsid w:val="00B20E3F"/>
    <w:pPr>
      <w:spacing w:before="100" w:beforeAutospacing="1" w:after="100" w:afterAutospacing="1"/>
    </w:pPr>
    <w:rPr>
      <w:rFonts w:ascii="Book Antiqua" w:hAnsi="Book Antiqua"/>
      <w:sz w:val="20"/>
      <w:szCs w:val="20"/>
    </w:rPr>
  </w:style>
  <w:style w:type="paragraph" w:customStyle="1" w:styleId="xl24">
    <w:name w:val="xl24"/>
    <w:basedOn w:val="Normal"/>
    <w:rsid w:val="00B20E3F"/>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B20E3F"/>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B20E3F"/>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B20E3F"/>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B20E3F"/>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B20E3F"/>
    <w:pPr>
      <w:pBdr>
        <w:right w:val="single" w:sz="4" w:space="0" w:color="auto"/>
      </w:pBdr>
      <w:spacing w:before="100" w:beforeAutospacing="1" w:after="100" w:afterAutospacing="1"/>
    </w:pPr>
    <w:rPr>
      <w:sz w:val="20"/>
      <w:szCs w:val="20"/>
    </w:rPr>
  </w:style>
  <w:style w:type="paragraph" w:customStyle="1" w:styleId="xl30">
    <w:name w:val="xl30"/>
    <w:basedOn w:val="Normal"/>
    <w:rsid w:val="00B20E3F"/>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B20E3F"/>
    <w:pPr>
      <w:pBdr>
        <w:bottom w:val="single" w:sz="4" w:space="0" w:color="auto"/>
      </w:pBdr>
      <w:spacing w:before="100" w:beforeAutospacing="1" w:after="100" w:afterAutospacing="1"/>
    </w:pPr>
    <w:rPr>
      <w:sz w:val="20"/>
      <w:szCs w:val="20"/>
    </w:rPr>
  </w:style>
  <w:style w:type="paragraph" w:customStyle="1" w:styleId="xl32">
    <w:name w:val="xl32"/>
    <w:basedOn w:val="Normal"/>
    <w:rsid w:val="00B20E3F"/>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B20E3F"/>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B20E3F"/>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B20E3F"/>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B20E3F"/>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B20E3F"/>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B20E3F"/>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B20E3F"/>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B20E3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B20E3F"/>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B20E3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B20E3F"/>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B20E3F"/>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B20E3F"/>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B20E3F"/>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B20E3F"/>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1C60D5"/>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iChar">
    <w:name w:val="Paragrafi Char"/>
    <w:basedOn w:val="DefaultParagraphFont"/>
    <w:link w:val="Paragrafi"/>
    <w:locked/>
    <w:rsid w:val="001C60D5"/>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1431</Words>
  <Characters>8160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9572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Inida Noga</cp:lastModifiedBy>
  <cp:revision>2</cp:revision>
  <dcterms:created xsi:type="dcterms:W3CDTF">2019-03-17T18:20:00Z</dcterms:created>
  <dcterms:modified xsi:type="dcterms:W3CDTF">2019-03-17T18:20:00Z</dcterms:modified>
</cp:coreProperties>
</file>