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1718" w:rsidRPr="003B2472" w:rsidRDefault="00F91718" w:rsidP="00F91718">
      <w:pPr>
        <w:pStyle w:val="Akti"/>
        <w:keepNext w:val="0"/>
        <w:rPr>
          <w:sz w:val="21"/>
          <w:szCs w:val="21"/>
        </w:rPr>
      </w:pPr>
      <w:bookmarkStart w:id="0" w:name="_GoBack"/>
      <w:bookmarkEnd w:id="0"/>
      <w:r w:rsidRPr="003B2472">
        <w:rPr>
          <w:sz w:val="21"/>
          <w:szCs w:val="21"/>
        </w:rPr>
        <w:t>Vendim</w:t>
      </w:r>
    </w:p>
    <w:p w:rsidR="00F91718" w:rsidRPr="003B2472" w:rsidRDefault="00F91718" w:rsidP="00F91718">
      <w:pPr>
        <w:pStyle w:val="NumriData"/>
        <w:keepNext w:val="0"/>
        <w:rPr>
          <w:sz w:val="21"/>
          <w:szCs w:val="21"/>
        </w:rPr>
      </w:pPr>
      <w:r w:rsidRPr="003B2472">
        <w:rPr>
          <w:sz w:val="21"/>
          <w:szCs w:val="21"/>
        </w:rPr>
        <w:t>Nr.944, datë 17.11.2010</w:t>
      </w:r>
    </w:p>
    <w:p w:rsidR="00F91718" w:rsidRPr="003B2472" w:rsidRDefault="00F91718" w:rsidP="00F91718">
      <w:pPr>
        <w:pStyle w:val="Paragrafi"/>
        <w:rPr>
          <w:sz w:val="21"/>
          <w:szCs w:val="21"/>
        </w:rPr>
      </w:pPr>
    </w:p>
    <w:p w:rsidR="00F91718" w:rsidRPr="003B2472" w:rsidRDefault="00F91718" w:rsidP="00F91718">
      <w:pPr>
        <w:pStyle w:val="Titulli"/>
        <w:keepNext w:val="0"/>
        <w:rPr>
          <w:sz w:val="21"/>
          <w:szCs w:val="21"/>
        </w:rPr>
      </w:pPr>
      <w:r w:rsidRPr="003B2472">
        <w:rPr>
          <w:sz w:val="21"/>
          <w:szCs w:val="21"/>
        </w:rPr>
        <w:t xml:space="preserve">Për miratimin e listës përfundimtare të pronave të paluajtshme publike, shtetërore, që transferohen në pronësi </w:t>
      </w:r>
      <w:r>
        <w:rPr>
          <w:sz w:val="21"/>
          <w:szCs w:val="21"/>
        </w:rPr>
        <w:t>ose në përdorim të komunës Dajç</w:t>
      </w:r>
      <w:r w:rsidRPr="003B2472">
        <w:rPr>
          <w:sz w:val="21"/>
          <w:szCs w:val="21"/>
        </w:rPr>
        <w:t xml:space="preserve"> të qarkut të Shkodrës</w:t>
      </w:r>
    </w:p>
    <w:p w:rsidR="00F91718" w:rsidRPr="003B2472" w:rsidRDefault="00F91718" w:rsidP="00F91718">
      <w:pPr>
        <w:pStyle w:val="Paragrafi"/>
        <w:rPr>
          <w:sz w:val="21"/>
          <w:szCs w:val="21"/>
        </w:rPr>
      </w:pPr>
    </w:p>
    <w:p w:rsidR="00F91718" w:rsidRPr="003B2472" w:rsidRDefault="00F91718" w:rsidP="00F91718">
      <w:pPr>
        <w:pStyle w:val="Paragrafi"/>
        <w:rPr>
          <w:sz w:val="21"/>
          <w:szCs w:val="21"/>
        </w:rPr>
      </w:pPr>
      <w:r w:rsidRPr="003B2472">
        <w:rPr>
          <w:sz w:val="21"/>
          <w:szCs w:val="21"/>
        </w:rPr>
        <w:t>Në mbështetje të nenit 100 të Kushtetutës dhe të neneve 3 e 17 të ligjit nr.8744, datë 22.2.2001 “Për transferimin e pronave të paluajtshme publike të shtetit në njësitë e qeverisjes vendore”, të ndryshuar, me propozimin e Ministrit të Brendshëm, Këshilli i Ministrave</w:t>
      </w:r>
    </w:p>
    <w:p w:rsidR="00F91718" w:rsidRPr="003B2472" w:rsidRDefault="00F91718" w:rsidP="00F91718">
      <w:pPr>
        <w:pStyle w:val="Paragrafi"/>
        <w:rPr>
          <w:sz w:val="21"/>
          <w:szCs w:val="21"/>
        </w:rPr>
      </w:pPr>
    </w:p>
    <w:p w:rsidR="00F91718" w:rsidRPr="003B2472" w:rsidRDefault="00F91718" w:rsidP="00F91718">
      <w:pPr>
        <w:pStyle w:val="VENDOSI"/>
        <w:keepNext w:val="0"/>
        <w:rPr>
          <w:sz w:val="21"/>
          <w:szCs w:val="21"/>
        </w:rPr>
      </w:pPr>
      <w:r w:rsidRPr="003B2472">
        <w:rPr>
          <w:sz w:val="21"/>
          <w:szCs w:val="21"/>
        </w:rPr>
        <w:t>Vendosi:</w:t>
      </w:r>
    </w:p>
    <w:p w:rsidR="00F91718" w:rsidRPr="003B2472" w:rsidRDefault="00F91718" w:rsidP="00F91718">
      <w:pPr>
        <w:pStyle w:val="Paragrafi"/>
        <w:rPr>
          <w:sz w:val="21"/>
          <w:szCs w:val="21"/>
        </w:rPr>
      </w:pPr>
    </w:p>
    <w:p w:rsidR="00F91718" w:rsidRPr="003B2472" w:rsidRDefault="00F91718" w:rsidP="00F91718">
      <w:pPr>
        <w:pStyle w:val="Paragrafi"/>
        <w:rPr>
          <w:sz w:val="21"/>
          <w:szCs w:val="21"/>
        </w:rPr>
      </w:pPr>
      <w:r w:rsidRPr="003B2472">
        <w:rPr>
          <w:sz w:val="21"/>
          <w:szCs w:val="21"/>
        </w:rPr>
        <w:t>1. Miratimin e listës përfundimtare të pronave të paluajtshme publike, shtetërore, brenda juridiksionit territorial dhe administrativ të komunës Dajç të qarkut të Shkodrës, që transferohen në pronësi ose në përdorim të kësaj komune, sipas lidhjes nr.1, që i bashkëlidhet këtij vendimi dhe është pjesë përbërëse e tij.</w:t>
      </w:r>
    </w:p>
    <w:p w:rsidR="00F91718" w:rsidRPr="00F91718" w:rsidRDefault="00F91718" w:rsidP="00F91718">
      <w:pPr>
        <w:pStyle w:val="Paragrafi"/>
        <w:rPr>
          <w:sz w:val="21"/>
          <w:szCs w:val="21"/>
          <w:lang w:val="it-IT"/>
        </w:rPr>
      </w:pPr>
      <w:r w:rsidRPr="00F91718">
        <w:rPr>
          <w:sz w:val="21"/>
          <w:szCs w:val="21"/>
          <w:lang w:val="it-IT"/>
        </w:rPr>
        <w:t>Lista me 32 (tridhjetë e dy) fletë, që i bashkëlidhet këtij vendimi, përfundon me numrin rendor 143 (njëqind e dyzet e tre).</w:t>
      </w:r>
    </w:p>
    <w:p w:rsidR="00F91718" w:rsidRPr="00F91718" w:rsidRDefault="00F91718" w:rsidP="00F91718">
      <w:pPr>
        <w:pStyle w:val="Paragrafi"/>
        <w:rPr>
          <w:sz w:val="21"/>
          <w:szCs w:val="21"/>
          <w:lang w:val="it-IT"/>
        </w:rPr>
      </w:pPr>
      <w:r w:rsidRPr="00F91718">
        <w:rPr>
          <w:sz w:val="21"/>
          <w:szCs w:val="21"/>
          <w:lang w:val="it-IT"/>
        </w:rPr>
        <w:t>2. Ngarkohen Ministri i Brendshëm, kryeregjistruesi i Pasurive të Paluajtshme të Republikës së Shqipërisë dhe komuna Dajç e qarkut të Shkodrës për zbatimin e këtij vendimi.</w:t>
      </w:r>
    </w:p>
    <w:p w:rsidR="00F91718" w:rsidRPr="00F91718" w:rsidRDefault="00F91718" w:rsidP="00F91718">
      <w:pPr>
        <w:pStyle w:val="Paragrafi"/>
        <w:rPr>
          <w:sz w:val="21"/>
          <w:szCs w:val="21"/>
          <w:lang w:val="it-IT"/>
        </w:rPr>
      </w:pPr>
      <w:r w:rsidRPr="00F91718">
        <w:rPr>
          <w:sz w:val="21"/>
          <w:szCs w:val="21"/>
          <w:lang w:val="it-IT"/>
        </w:rPr>
        <w:t>Ky vendim hyn në fuqi pas botimit në Fletoren Zyrtare.</w:t>
      </w:r>
    </w:p>
    <w:p w:rsidR="00F91718" w:rsidRPr="00F91718" w:rsidRDefault="00F91718" w:rsidP="00F91718">
      <w:pPr>
        <w:pStyle w:val="Paragrafi"/>
        <w:rPr>
          <w:sz w:val="21"/>
          <w:szCs w:val="21"/>
          <w:lang w:val="it-IT"/>
        </w:rPr>
      </w:pPr>
    </w:p>
    <w:p w:rsidR="00F91718" w:rsidRPr="00F91718" w:rsidRDefault="00F91718" w:rsidP="00F91718">
      <w:pPr>
        <w:pStyle w:val="Autoriteti"/>
        <w:keepNext w:val="0"/>
        <w:rPr>
          <w:sz w:val="21"/>
          <w:szCs w:val="21"/>
          <w:lang w:val="it-IT"/>
        </w:rPr>
      </w:pPr>
      <w:r w:rsidRPr="00F91718">
        <w:rPr>
          <w:sz w:val="21"/>
          <w:szCs w:val="21"/>
          <w:lang w:val="it-IT"/>
        </w:rPr>
        <w:t>Kryeministri</w:t>
      </w:r>
    </w:p>
    <w:p w:rsidR="00F91718" w:rsidRPr="00F91718" w:rsidRDefault="00F91718" w:rsidP="00F91718">
      <w:pPr>
        <w:pStyle w:val="AutoritetiEmer"/>
        <w:rPr>
          <w:sz w:val="21"/>
          <w:szCs w:val="21"/>
          <w:lang w:val="it-IT"/>
        </w:rPr>
      </w:pPr>
      <w:r w:rsidRPr="00F91718">
        <w:rPr>
          <w:sz w:val="21"/>
          <w:szCs w:val="21"/>
          <w:lang w:val="it-IT"/>
        </w:rPr>
        <w:t>Sali Berisha</w:t>
      </w:r>
    </w:p>
    <w:p w:rsidR="00F91718" w:rsidRPr="00F91718" w:rsidRDefault="00F91718" w:rsidP="00F91718">
      <w:pPr>
        <w:pStyle w:val="Paragrafi"/>
      </w:pPr>
    </w:p>
    <w:p w:rsidR="00F91718" w:rsidRPr="00F91718" w:rsidRDefault="00F91718" w:rsidP="00F91718">
      <w:pPr>
        <w:pStyle w:val="Paragrafi"/>
      </w:pPr>
    </w:p>
    <w:p w:rsidR="00F91718" w:rsidRPr="00F91718" w:rsidRDefault="00F91718" w:rsidP="00F91718">
      <w:pPr>
        <w:pStyle w:val="Paragrafi"/>
      </w:pPr>
      <w:r w:rsidRPr="00F91718">
        <w:t>Komuna Dajç</w:t>
      </w:r>
      <w:r w:rsidRPr="00F91718">
        <w:tab/>
      </w:r>
      <w:r w:rsidRPr="00F91718">
        <w:tab/>
      </w:r>
      <w:r w:rsidRPr="00F91718">
        <w:tab/>
      </w:r>
      <w:r w:rsidRPr="00F91718">
        <w:tab/>
      </w:r>
      <w:r w:rsidRPr="00F91718">
        <w:tab/>
      </w:r>
      <w:r w:rsidRPr="00F91718">
        <w:tab/>
      </w:r>
      <w:r w:rsidRPr="00F91718">
        <w:tab/>
      </w:r>
      <w:r w:rsidRPr="00F91718">
        <w:tab/>
        <w:t>Lidhja nr.1</w:t>
      </w:r>
    </w:p>
    <w:p w:rsidR="00F91718" w:rsidRPr="00F91718" w:rsidRDefault="00F91718" w:rsidP="00F91718">
      <w:pPr>
        <w:pStyle w:val="Paragrafi"/>
        <w:rPr>
          <w:sz w:val="21"/>
          <w:szCs w:val="21"/>
          <w:lang w:val="it-IT"/>
        </w:rPr>
      </w:pPr>
    </w:p>
    <w:tbl>
      <w:tblPr>
        <w:tblW w:w="51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50"/>
        <w:gridCol w:w="4586"/>
        <w:gridCol w:w="1645"/>
      </w:tblGrid>
      <w:tr w:rsidR="00F91718" w:rsidRPr="00F91718" w:rsidTr="00F91718">
        <w:tc>
          <w:tcPr>
            <w:tcW w:w="1569" w:type="pct"/>
          </w:tcPr>
          <w:p w:rsidR="00F91718" w:rsidRPr="00F91718" w:rsidRDefault="00F91718" w:rsidP="00F91718">
            <w:pPr>
              <w:pStyle w:val="Tabele"/>
              <w:rPr>
                <w:sz w:val="18"/>
                <w:szCs w:val="18"/>
              </w:rPr>
            </w:pPr>
            <w:r w:rsidRPr="00F91718">
              <w:rPr>
                <w:sz w:val="18"/>
                <w:szCs w:val="18"/>
              </w:rPr>
              <w:t>Numrat rendorë të pronave në listën e inventarit</w:t>
            </w:r>
          </w:p>
        </w:tc>
        <w:tc>
          <w:tcPr>
            <w:tcW w:w="2525" w:type="pct"/>
          </w:tcPr>
          <w:p w:rsidR="00F91718" w:rsidRPr="00F91718" w:rsidRDefault="00F91718" w:rsidP="00F91718">
            <w:pPr>
              <w:pStyle w:val="Tabele"/>
              <w:rPr>
                <w:sz w:val="18"/>
                <w:szCs w:val="18"/>
              </w:rPr>
            </w:pPr>
            <w:r w:rsidRPr="00F91718">
              <w:rPr>
                <w:sz w:val="18"/>
                <w:szCs w:val="18"/>
              </w:rPr>
              <w:t>Fusha e përdorimit të pronës</w:t>
            </w:r>
          </w:p>
        </w:tc>
        <w:tc>
          <w:tcPr>
            <w:tcW w:w="906" w:type="pct"/>
          </w:tcPr>
          <w:p w:rsidR="00F91718" w:rsidRPr="00F91718" w:rsidRDefault="00F91718" w:rsidP="00F91718">
            <w:pPr>
              <w:pStyle w:val="Tabele"/>
              <w:rPr>
                <w:sz w:val="18"/>
                <w:szCs w:val="18"/>
              </w:rPr>
            </w:pPr>
            <w:r w:rsidRPr="00F91718">
              <w:rPr>
                <w:sz w:val="18"/>
                <w:szCs w:val="18"/>
              </w:rPr>
              <w:t>Lloji i transferimit</w:t>
            </w:r>
          </w:p>
        </w:tc>
      </w:tr>
      <w:tr w:rsidR="00F91718" w:rsidRPr="00F91718" w:rsidTr="00F91718">
        <w:tc>
          <w:tcPr>
            <w:tcW w:w="1569" w:type="pct"/>
          </w:tcPr>
          <w:p w:rsidR="00F91718" w:rsidRPr="00F91718" w:rsidRDefault="00F91718" w:rsidP="00F91718">
            <w:pPr>
              <w:pStyle w:val="Tabele"/>
              <w:rPr>
                <w:sz w:val="18"/>
                <w:szCs w:val="18"/>
              </w:rPr>
            </w:pPr>
            <w:r w:rsidRPr="00F91718">
              <w:rPr>
                <w:sz w:val="18"/>
                <w:szCs w:val="18"/>
              </w:rPr>
              <w:t>1-8</w:t>
            </w:r>
          </w:p>
        </w:tc>
        <w:tc>
          <w:tcPr>
            <w:tcW w:w="2525" w:type="pct"/>
          </w:tcPr>
          <w:p w:rsidR="00F91718" w:rsidRPr="00F91718" w:rsidRDefault="00F91718" w:rsidP="00F91718">
            <w:pPr>
              <w:pStyle w:val="Tabele"/>
              <w:rPr>
                <w:sz w:val="18"/>
                <w:szCs w:val="18"/>
              </w:rPr>
            </w:pPr>
            <w:r w:rsidRPr="00F91718">
              <w:rPr>
                <w:sz w:val="18"/>
                <w:szCs w:val="18"/>
              </w:rPr>
              <w:t>Prona që përdoren për realizimin e programeve arsimore</w:t>
            </w:r>
          </w:p>
        </w:tc>
        <w:tc>
          <w:tcPr>
            <w:tcW w:w="906" w:type="pct"/>
          </w:tcPr>
          <w:p w:rsidR="00F91718" w:rsidRPr="00F91718" w:rsidRDefault="00F91718" w:rsidP="00F91718">
            <w:pPr>
              <w:pStyle w:val="Tabele"/>
              <w:rPr>
                <w:sz w:val="18"/>
                <w:szCs w:val="18"/>
              </w:rPr>
            </w:pPr>
            <w:r w:rsidRPr="00F91718">
              <w:rPr>
                <w:sz w:val="18"/>
                <w:szCs w:val="18"/>
              </w:rPr>
              <w:t>Në pronësi</w:t>
            </w:r>
          </w:p>
        </w:tc>
      </w:tr>
      <w:tr w:rsidR="00F91718" w:rsidRPr="00F91718" w:rsidTr="00F91718">
        <w:tc>
          <w:tcPr>
            <w:tcW w:w="1569" w:type="pct"/>
          </w:tcPr>
          <w:p w:rsidR="00F91718" w:rsidRPr="00F91718" w:rsidRDefault="00F91718" w:rsidP="00F91718">
            <w:pPr>
              <w:pStyle w:val="Tabele"/>
              <w:rPr>
                <w:sz w:val="18"/>
                <w:szCs w:val="18"/>
              </w:rPr>
            </w:pPr>
            <w:r w:rsidRPr="00F91718">
              <w:rPr>
                <w:sz w:val="18"/>
                <w:szCs w:val="18"/>
              </w:rPr>
              <w:t>9-11</w:t>
            </w:r>
          </w:p>
        </w:tc>
        <w:tc>
          <w:tcPr>
            <w:tcW w:w="2525" w:type="pct"/>
          </w:tcPr>
          <w:p w:rsidR="00F91718" w:rsidRPr="00F91718" w:rsidRDefault="00F91718" w:rsidP="00F91718">
            <w:pPr>
              <w:pStyle w:val="Tabele"/>
              <w:rPr>
                <w:sz w:val="18"/>
                <w:szCs w:val="18"/>
              </w:rPr>
            </w:pPr>
            <w:r w:rsidRPr="00F91718">
              <w:rPr>
                <w:sz w:val="18"/>
                <w:szCs w:val="18"/>
              </w:rPr>
              <w:t>Prona që përdoren për realizimin e funksioneve në shëndetin publik</w:t>
            </w:r>
          </w:p>
        </w:tc>
        <w:tc>
          <w:tcPr>
            <w:tcW w:w="906" w:type="pct"/>
          </w:tcPr>
          <w:p w:rsidR="00F91718" w:rsidRPr="00F91718" w:rsidRDefault="00F91718" w:rsidP="00F91718">
            <w:pPr>
              <w:pStyle w:val="Tabele"/>
              <w:rPr>
                <w:sz w:val="18"/>
                <w:szCs w:val="18"/>
              </w:rPr>
            </w:pPr>
            <w:r w:rsidRPr="00F91718">
              <w:rPr>
                <w:sz w:val="18"/>
                <w:szCs w:val="18"/>
              </w:rPr>
              <w:t>Në pronësi</w:t>
            </w:r>
          </w:p>
        </w:tc>
      </w:tr>
      <w:tr w:rsidR="00F91718" w:rsidRPr="00F91718" w:rsidTr="00F91718">
        <w:tc>
          <w:tcPr>
            <w:tcW w:w="1569" w:type="pct"/>
          </w:tcPr>
          <w:p w:rsidR="00F91718" w:rsidRPr="00F91718" w:rsidRDefault="00F91718" w:rsidP="00F91718">
            <w:pPr>
              <w:pStyle w:val="Tabele"/>
              <w:rPr>
                <w:sz w:val="18"/>
                <w:szCs w:val="18"/>
              </w:rPr>
            </w:pPr>
            <w:r w:rsidRPr="00F91718">
              <w:rPr>
                <w:sz w:val="18"/>
                <w:szCs w:val="18"/>
              </w:rPr>
              <w:t>13</w:t>
            </w:r>
          </w:p>
        </w:tc>
        <w:tc>
          <w:tcPr>
            <w:tcW w:w="2525" w:type="pct"/>
          </w:tcPr>
          <w:p w:rsidR="00F91718" w:rsidRPr="00F91718" w:rsidRDefault="00F91718" w:rsidP="00F91718">
            <w:pPr>
              <w:pStyle w:val="Tabele"/>
              <w:rPr>
                <w:sz w:val="18"/>
                <w:szCs w:val="18"/>
              </w:rPr>
            </w:pPr>
            <w:r w:rsidRPr="00F91718">
              <w:rPr>
                <w:sz w:val="18"/>
                <w:szCs w:val="18"/>
              </w:rPr>
              <w:t>Prona që përdoren për realizimin e veprimtarive social-kulturore e sporteve</w:t>
            </w:r>
          </w:p>
        </w:tc>
        <w:tc>
          <w:tcPr>
            <w:tcW w:w="906" w:type="pct"/>
          </w:tcPr>
          <w:p w:rsidR="00F91718" w:rsidRPr="00F91718" w:rsidRDefault="00F91718" w:rsidP="00F91718">
            <w:pPr>
              <w:pStyle w:val="Tabele"/>
              <w:rPr>
                <w:sz w:val="18"/>
                <w:szCs w:val="18"/>
              </w:rPr>
            </w:pPr>
            <w:r w:rsidRPr="00F91718">
              <w:rPr>
                <w:sz w:val="18"/>
                <w:szCs w:val="18"/>
              </w:rPr>
              <w:t>Në pronësi</w:t>
            </w:r>
          </w:p>
        </w:tc>
      </w:tr>
      <w:tr w:rsidR="00F91718" w:rsidRPr="00F91718" w:rsidTr="00F91718">
        <w:tc>
          <w:tcPr>
            <w:tcW w:w="1569" w:type="pct"/>
          </w:tcPr>
          <w:p w:rsidR="00F91718" w:rsidRPr="00F91718" w:rsidRDefault="00F91718" w:rsidP="00F91718">
            <w:pPr>
              <w:pStyle w:val="Tabele"/>
              <w:rPr>
                <w:sz w:val="18"/>
                <w:szCs w:val="18"/>
              </w:rPr>
            </w:pPr>
            <w:r w:rsidRPr="00F91718">
              <w:rPr>
                <w:sz w:val="18"/>
                <w:szCs w:val="18"/>
              </w:rPr>
              <w:t>14-29</w:t>
            </w:r>
          </w:p>
        </w:tc>
        <w:tc>
          <w:tcPr>
            <w:tcW w:w="2525" w:type="pct"/>
          </w:tcPr>
          <w:p w:rsidR="00F91718" w:rsidRPr="00F91718" w:rsidRDefault="00F91718" w:rsidP="00F91718">
            <w:pPr>
              <w:pStyle w:val="Tabele"/>
              <w:rPr>
                <w:sz w:val="18"/>
                <w:szCs w:val="18"/>
              </w:rPr>
            </w:pPr>
            <w:r w:rsidRPr="00F91718">
              <w:rPr>
                <w:sz w:val="18"/>
                <w:szCs w:val="18"/>
              </w:rPr>
              <w:t>Troje të lira dhe hapësira publike të pazëna ndërmjet ndërtesave ose objekteve të çdo lloji</w:t>
            </w:r>
          </w:p>
        </w:tc>
        <w:tc>
          <w:tcPr>
            <w:tcW w:w="906" w:type="pct"/>
          </w:tcPr>
          <w:p w:rsidR="00F91718" w:rsidRPr="00F91718" w:rsidRDefault="00F91718" w:rsidP="00F91718">
            <w:pPr>
              <w:pStyle w:val="Tabele"/>
              <w:rPr>
                <w:sz w:val="18"/>
                <w:szCs w:val="18"/>
              </w:rPr>
            </w:pPr>
            <w:r w:rsidRPr="00F91718">
              <w:rPr>
                <w:sz w:val="18"/>
                <w:szCs w:val="18"/>
              </w:rPr>
              <w:t>Në përdorim</w:t>
            </w:r>
          </w:p>
        </w:tc>
      </w:tr>
      <w:tr w:rsidR="00F91718" w:rsidRPr="00F91718" w:rsidTr="00F91718">
        <w:tc>
          <w:tcPr>
            <w:tcW w:w="1569" w:type="pct"/>
          </w:tcPr>
          <w:p w:rsidR="00F91718" w:rsidRPr="00F91718" w:rsidRDefault="00F91718" w:rsidP="00F91718">
            <w:pPr>
              <w:pStyle w:val="Tabele"/>
              <w:rPr>
                <w:sz w:val="18"/>
                <w:szCs w:val="18"/>
              </w:rPr>
            </w:pPr>
            <w:r w:rsidRPr="00F91718">
              <w:rPr>
                <w:sz w:val="18"/>
                <w:szCs w:val="18"/>
              </w:rPr>
              <w:t>30-35</w:t>
            </w:r>
          </w:p>
        </w:tc>
        <w:tc>
          <w:tcPr>
            <w:tcW w:w="2525" w:type="pct"/>
          </w:tcPr>
          <w:p w:rsidR="00F91718" w:rsidRPr="00F91718" w:rsidRDefault="00F91718" w:rsidP="00F91718">
            <w:pPr>
              <w:pStyle w:val="Tabele"/>
              <w:rPr>
                <w:sz w:val="18"/>
                <w:szCs w:val="18"/>
              </w:rPr>
            </w:pPr>
            <w:r w:rsidRPr="00F91718">
              <w:rPr>
                <w:sz w:val="18"/>
                <w:szCs w:val="18"/>
              </w:rPr>
              <w:t>Varreza publike</w:t>
            </w:r>
          </w:p>
        </w:tc>
        <w:tc>
          <w:tcPr>
            <w:tcW w:w="906" w:type="pct"/>
          </w:tcPr>
          <w:p w:rsidR="00F91718" w:rsidRPr="00F91718" w:rsidRDefault="00F91718" w:rsidP="00F91718">
            <w:pPr>
              <w:pStyle w:val="Tabele"/>
              <w:rPr>
                <w:sz w:val="18"/>
                <w:szCs w:val="18"/>
              </w:rPr>
            </w:pPr>
            <w:r w:rsidRPr="00F91718">
              <w:rPr>
                <w:sz w:val="18"/>
                <w:szCs w:val="18"/>
              </w:rPr>
              <w:t>Në pronësi</w:t>
            </w:r>
          </w:p>
        </w:tc>
      </w:tr>
      <w:tr w:rsidR="00F91718" w:rsidRPr="00F91718" w:rsidTr="00F91718">
        <w:tc>
          <w:tcPr>
            <w:tcW w:w="1569" w:type="pct"/>
          </w:tcPr>
          <w:p w:rsidR="00F91718" w:rsidRPr="00F91718" w:rsidRDefault="00F91718" w:rsidP="00F91718">
            <w:pPr>
              <w:pStyle w:val="Tabele"/>
              <w:rPr>
                <w:sz w:val="18"/>
                <w:szCs w:val="18"/>
              </w:rPr>
            </w:pPr>
            <w:r w:rsidRPr="00F91718">
              <w:rPr>
                <w:sz w:val="18"/>
                <w:szCs w:val="18"/>
              </w:rPr>
              <w:t>46-58</w:t>
            </w:r>
          </w:p>
        </w:tc>
        <w:tc>
          <w:tcPr>
            <w:tcW w:w="2525" w:type="pct"/>
          </w:tcPr>
          <w:p w:rsidR="00F91718" w:rsidRPr="00F91718" w:rsidRDefault="00F91718" w:rsidP="00F91718">
            <w:pPr>
              <w:pStyle w:val="Tabele"/>
              <w:rPr>
                <w:sz w:val="18"/>
                <w:szCs w:val="18"/>
              </w:rPr>
            </w:pPr>
            <w:r w:rsidRPr="00F91718">
              <w:rPr>
                <w:sz w:val="18"/>
                <w:szCs w:val="18"/>
              </w:rPr>
              <w:t>Prona që përdoren për ushtrimin e funksioneve në fushën e bujqësisë dhe të ushqimit (toka produktive)</w:t>
            </w:r>
          </w:p>
        </w:tc>
        <w:tc>
          <w:tcPr>
            <w:tcW w:w="906" w:type="pct"/>
          </w:tcPr>
          <w:p w:rsidR="00F91718" w:rsidRPr="00F91718" w:rsidRDefault="00F91718" w:rsidP="00F91718">
            <w:pPr>
              <w:pStyle w:val="Tabele"/>
              <w:rPr>
                <w:sz w:val="18"/>
                <w:szCs w:val="18"/>
              </w:rPr>
            </w:pPr>
            <w:r w:rsidRPr="00F91718">
              <w:rPr>
                <w:sz w:val="18"/>
                <w:szCs w:val="18"/>
              </w:rPr>
              <w:t>Në përdorim</w:t>
            </w:r>
          </w:p>
        </w:tc>
      </w:tr>
      <w:tr w:rsidR="00F91718" w:rsidRPr="00F91718" w:rsidTr="00F91718">
        <w:tc>
          <w:tcPr>
            <w:tcW w:w="1569" w:type="pct"/>
          </w:tcPr>
          <w:p w:rsidR="00F91718" w:rsidRPr="00F91718" w:rsidRDefault="00F91718" w:rsidP="00F91718">
            <w:pPr>
              <w:pStyle w:val="Tabele"/>
              <w:rPr>
                <w:sz w:val="18"/>
                <w:szCs w:val="18"/>
              </w:rPr>
            </w:pPr>
            <w:r w:rsidRPr="00F91718">
              <w:rPr>
                <w:sz w:val="18"/>
                <w:szCs w:val="18"/>
              </w:rPr>
              <w:t>59,60,61,62,63,64,65,70,73,</w:t>
            </w:r>
          </w:p>
          <w:p w:rsidR="00F91718" w:rsidRPr="00F91718" w:rsidRDefault="00F91718" w:rsidP="00F91718">
            <w:pPr>
              <w:pStyle w:val="Tabele"/>
              <w:rPr>
                <w:sz w:val="18"/>
                <w:szCs w:val="18"/>
              </w:rPr>
            </w:pPr>
            <w:r w:rsidRPr="00F91718">
              <w:rPr>
                <w:sz w:val="18"/>
                <w:szCs w:val="18"/>
              </w:rPr>
              <w:t>77,85,87,90,95,98,100,101,</w:t>
            </w:r>
          </w:p>
          <w:p w:rsidR="00F91718" w:rsidRPr="00F91718" w:rsidRDefault="00F91718" w:rsidP="00F91718">
            <w:pPr>
              <w:pStyle w:val="Tabele"/>
              <w:rPr>
                <w:sz w:val="18"/>
                <w:szCs w:val="18"/>
              </w:rPr>
            </w:pPr>
            <w:r w:rsidRPr="00F91718">
              <w:rPr>
                <w:sz w:val="18"/>
                <w:szCs w:val="18"/>
              </w:rPr>
              <w:t>102 (vetëm kanalet e treta)</w:t>
            </w:r>
          </w:p>
        </w:tc>
        <w:tc>
          <w:tcPr>
            <w:tcW w:w="2525" w:type="pct"/>
          </w:tcPr>
          <w:p w:rsidR="00F91718" w:rsidRPr="00F91718" w:rsidRDefault="00F91718" w:rsidP="00F91718">
            <w:pPr>
              <w:pStyle w:val="Tabele"/>
              <w:rPr>
                <w:sz w:val="18"/>
                <w:szCs w:val="18"/>
              </w:rPr>
            </w:pPr>
            <w:r w:rsidRPr="00F91718">
              <w:rPr>
                <w:sz w:val="18"/>
                <w:szCs w:val="18"/>
              </w:rPr>
              <w:t>Prona që përdoren për ushtrimin e funksioneve në fushën e bujqësisë dhe të ushqimit (toka joproduktive dhe kanale të treta)</w:t>
            </w:r>
          </w:p>
        </w:tc>
        <w:tc>
          <w:tcPr>
            <w:tcW w:w="906" w:type="pct"/>
          </w:tcPr>
          <w:p w:rsidR="00F91718" w:rsidRPr="00F91718" w:rsidRDefault="00F91718" w:rsidP="00F91718">
            <w:pPr>
              <w:pStyle w:val="Tabele"/>
              <w:rPr>
                <w:sz w:val="18"/>
                <w:szCs w:val="18"/>
              </w:rPr>
            </w:pPr>
            <w:r w:rsidRPr="00F91718">
              <w:rPr>
                <w:sz w:val="18"/>
                <w:szCs w:val="18"/>
              </w:rPr>
              <w:t>Në pronësi</w:t>
            </w:r>
          </w:p>
        </w:tc>
      </w:tr>
      <w:tr w:rsidR="00F91718" w:rsidRPr="00F91718" w:rsidTr="00F91718">
        <w:tc>
          <w:tcPr>
            <w:tcW w:w="1569" w:type="pct"/>
          </w:tcPr>
          <w:p w:rsidR="00F91718" w:rsidRPr="00F91718" w:rsidRDefault="00F91718" w:rsidP="00F91718">
            <w:pPr>
              <w:pStyle w:val="Tabele"/>
              <w:rPr>
                <w:sz w:val="18"/>
                <w:szCs w:val="18"/>
              </w:rPr>
            </w:pPr>
            <w:r w:rsidRPr="00F91718">
              <w:rPr>
                <w:sz w:val="18"/>
                <w:szCs w:val="18"/>
              </w:rPr>
              <w:t>107-116</w:t>
            </w:r>
          </w:p>
        </w:tc>
        <w:tc>
          <w:tcPr>
            <w:tcW w:w="2525" w:type="pct"/>
          </w:tcPr>
          <w:p w:rsidR="00F91718" w:rsidRPr="00F91718" w:rsidRDefault="00F91718" w:rsidP="00F91718">
            <w:pPr>
              <w:pStyle w:val="Tabele"/>
              <w:rPr>
                <w:sz w:val="18"/>
                <w:szCs w:val="18"/>
              </w:rPr>
            </w:pPr>
            <w:r w:rsidRPr="00F91718">
              <w:rPr>
                <w:sz w:val="18"/>
                <w:szCs w:val="18"/>
              </w:rPr>
              <w:t>Prona që përdoren për ushtrimin e funksioneve në fushën e ujësjellës-kanalizimeve</w:t>
            </w:r>
          </w:p>
        </w:tc>
        <w:tc>
          <w:tcPr>
            <w:tcW w:w="906" w:type="pct"/>
          </w:tcPr>
          <w:p w:rsidR="00F91718" w:rsidRPr="00F91718" w:rsidRDefault="00F91718" w:rsidP="00F91718">
            <w:pPr>
              <w:pStyle w:val="Tabele"/>
              <w:rPr>
                <w:sz w:val="18"/>
                <w:szCs w:val="18"/>
              </w:rPr>
            </w:pPr>
            <w:r w:rsidRPr="00F91718">
              <w:rPr>
                <w:sz w:val="18"/>
                <w:szCs w:val="18"/>
              </w:rPr>
              <w:t>Në pronësi</w:t>
            </w:r>
          </w:p>
        </w:tc>
      </w:tr>
      <w:tr w:rsidR="00F91718" w:rsidRPr="00F91718" w:rsidTr="00F91718">
        <w:tc>
          <w:tcPr>
            <w:tcW w:w="1569" w:type="pct"/>
          </w:tcPr>
          <w:p w:rsidR="00F91718" w:rsidRPr="00F91718" w:rsidRDefault="00F91718" w:rsidP="00F91718">
            <w:pPr>
              <w:pStyle w:val="Tabele"/>
              <w:rPr>
                <w:sz w:val="18"/>
                <w:szCs w:val="18"/>
              </w:rPr>
            </w:pPr>
            <w:r w:rsidRPr="00F91718">
              <w:rPr>
                <w:sz w:val="18"/>
                <w:szCs w:val="18"/>
              </w:rPr>
              <w:t>119-143</w:t>
            </w:r>
          </w:p>
        </w:tc>
        <w:tc>
          <w:tcPr>
            <w:tcW w:w="2525" w:type="pct"/>
          </w:tcPr>
          <w:p w:rsidR="00F91718" w:rsidRPr="00F91718" w:rsidRDefault="00F91718" w:rsidP="00F91718">
            <w:pPr>
              <w:pStyle w:val="Tabele"/>
              <w:rPr>
                <w:sz w:val="18"/>
                <w:szCs w:val="18"/>
              </w:rPr>
            </w:pPr>
            <w:r w:rsidRPr="00F91718">
              <w:rPr>
                <w:sz w:val="18"/>
                <w:szCs w:val="18"/>
              </w:rPr>
              <w:t>Infrastrukturë (rrugë vendore)</w:t>
            </w:r>
          </w:p>
        </w:tc>
        <w:tc>
          <w:tcPr>
            <w:tcW w:w="906" w:type="pct"/>
          </w:tcPr>
          <w:p w:rsidR="00F91718" w:rsidRPr="00F91718" w:rsidRDefault="00F91718" w:rsidP="00F91718">
            <w:pPr>
              <w:pStyle w:val="Tabele"/>
              <w:rPr>
                <w:sz w:val="18"/>
                <w:szCs w:val="18"/>
              </w:rPr>
            </w:pPr>
            <w:r w:rsidRPr="00F91718">
              <w:rPr>
                <w:sz w:val="18"/>
                <w:szCs w:val="18"/>
              </w:rPr>
              <w:t>Në pronësi</w:t>
            </w:r>
          </w:p>
        </w:tc>
      </w:tr>
    </w:tbl>
    <w:p w:rsidR="00F91718" w:rsidRPr="003B2472" w:rsidRDefault="00F91718" w:rsidP="00F91718">
      <w:pPr>
        <w:pStyle w:val="Akti"/>
        <w:keepNext w:val="0"/>
        <w:jc w:val="left"/>
      </w:pPr>
    </w:p>
    <w:sectPr w:rsidR="00F91718" w:rsidRPr="003B247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91718"/>
    <w:rsid w:val="00002B5B"/>
    <w:rsid w:val="000061A1"/>
    <w:rsid w:val="00010423"/>
    <w:rsid w:val="00022A53"/>
    <w:rsid w:val="00022A77"/>
    <w:rsid w:val="000264B3"/>
    <w:rsid w:val="000278DC"/>
    <w:rsid w:val="00027998"/>
    <w:rsid w:val="000312BE"/>
    <w:rsid w:val="00041A3B"/>
    <w:rsid w:val="00043166"/>
    <w:rsid w:val="00044427"/>
    <w:rsid w:val="00051374"/>
    <w:rsid w:val="00060E2A"/>
    <w:rsid w:val="000641B1"/>
    <w:rsid w:val="00065C91"/>
    <w:rsid w:val="00072E1C"/>
    <w:rsid w:val="00080C6B"/>
    <w:rsid w:val="00086172"/>
    <w:rsid w:val="00090125"/>
    <w:rsid w:val="0009774D"/>
    <w:rsid w:val="000A04D0"/>
    <w:rsid w:val="000A70A8"/>
    <w:rsid w:val="000A7212"/>
    <w:rsid w:val="000A75B0"/>
    <w:rsid w:val="000B422E"/>
    <w:rsid w:val="000B4EA9"/>
    <w:rsid w:val="000C090E"/>
    <w:rsid w:val="000C0EF9"/>
    <w:rsid w:val="000C19E7"/>
    <w:rsid w:val="000C4004"/>
    <w:rsid w:val="000D2636"/>
    <w:rsid w:val="000D4C98"/>
    <w:rsid w:val="000E69FE"/>
    <w:rsid w:val="000F0BD8"/>
    <w:rsid w:val="000F0FB9"/>
    <w:rsid w:val="000F3E76"/>
    <w:rsid w:val="000F57AA"/>
    <w:rsid w:val="000F662B"/>
    <w:rsid w:val="00104DC7"/>
    <w:rsid w:val="00107916"/>
    <w:rsid w:val="00112F5A"/>
    <w:rsid w:val="00113AB0"/>
    <w:rsid w:val="00123C6B"/>
    <w:rsid w:val="00124C31"/>
    <w:rsid w:val="0013023A"/>
    <w:rsid w:val="00136C4F"/>
    <w:rsid w:val="00141994"/>
    <w:rsid w:val="00142A06"/>
    <w:rsid w:val="00142DD7"/>
    <w:rsid w:val="00143F0C"/>
    <w:rsid w:val="001471F4"/>
    <w:rsid w:val="00156716"/>
    <w:rsid w:val="001610A0"/>
    <w:rsid w:val="001676E8"/>
    <w:rsid w:val="00173D3B"/>
    <w:rsid w:val="001751CD"/>
    <w:rsid w:val="001752CA"/>
    <w:rsid w:val="0017651F"/>
    <w:rsid w:val="00177706"/>
    <w:rsid w:val="00177B70"/>
    <w:rsid w:val="00181D76"/>
    <w:rsid w:val="001845CE"/>
    <w:rsid w:val="001855BD"/>
    <w:rsid w:val="001904C4"/>
    <w:rsid w:val="00192955"/>
    <w:rsid w:val="00193A7F"/>
    <w:rsid w:val="00195472"/>
    <w:rsid w:val="001971CD"/>
    <w:rsid w:val="001A21F7"/>
    <w:rsid w:val="001C16B0"/>
    <w:rsid w:val="001C6C85"/>
    <w:rsid w:val="001D0B9F"/>
    <w:rsid w:val="001D1EC4"/>
    <w:rsid w:val="001D30BE"/>
    <w:rsid w:val="001E050A"/>
    <w:rsid w:val="001E75D0"/>
    <w:rsid w:val="00204CB3"/>
    <w:rsid w:val="00211324"/>
    <w:rsid w:val="002116F0"/>
    <w:rsid w:val="002159AC"/>
    <w:rsid w:val="00223760"/>
    <w:rsid w:val="00225910"/>
    <w:rsid w:val="002314C9"/>
    <w:rsid w:val="00235357"/>
    <w:rsid w:val="00235AC3"/>
    <w:rsid w:val="00236420"/>
    <w:rsid w:val="00237A2D"/>
    <w:rsid w:val="00237ED1"/>
    <w:rsid w:val="00247800"/>
    <w:rsid w:val="002562E2"/>
    <w:rsid w:val="00260E80"/>
    <w:rsid w:val="002658CE"/>
    <w:rsid w:val="00275829"/>
    <w:rsid w:val="00276534"/>
    <w:rsid w:val="00282A68"/>
    <w:rsid w:val="00285B5C"/>
    <w:rsid w:val="00285DA9"/>
    <w:rsid w:val="002912CB"/>
    <w:rsid w:val="002A0B80"/>
    <w:rsid w:val="002A0D8E"/>
    <w:rsid w:val="002A4A98"/>
    <w:rsid w:val="002A7849"/>
    <w:rsid w:val="002A7A2F"/>
    <w:rsid w:val="002B1E76"/>
    <w:rsid w:val="002C534B"/>
    <w:rsid w:val="002C6F83"/>
    <w:rsid w:val="002D06A1"/>
    <w:rsid w:val="002D3C09"/>
    <w:rsid w:val="002D5451"/>
    <w:rsid w:val="002D735D"/>
    <w:rsid w:val="002D7B47"/>
    <w:rsid w:val="002E451D"/>
    <w:rsid w:val="002E792C"/>
    <w:rsid w:val="00303D95"/>
    <w:rsid w:val="00307720"/>
    <w:rsid w:val="00307A23"/>
    <w:rsid w:val="00307FBD"/>
    <w:rsid w:val="003107EB"/>
    <w:rsid w:val="003111BE"/>
    <w:rsid w:val="003120F8"/>
    <w:rsid w:val="0031465A"/>
    <w:rsid w:val="00322A3C"/>
    <w:rsid w:val="00340FBD"/>
    <w:rsid w:val="00340FC2"/>
    <w:rsid w:val="00342E7A"/>
    <w:rsid w:val="003462AD"/>
    <w:rsid w:val="00346F00"/>
    <w:rsid w:val="0035367F"/>
    <w:rsid w:val="003561B8"/>
    <w:rsid w:val="00356AD8"/>
    <w:rsid w:val="00361449"/>
    <w:rsid w:val="00365418"/>
    <w:rsid w:val="0037037F"/>
    <w:rsid w:val="00372508"/>
    <w:rsid w:val="00376FB6"/>
    <w:rsid w:val="00377673"/>
    <w:rsid w:val="0038019E"/>
    <w:rsid w:val="00391832"/>
    <w:rsid w:val="00394BB4"/>
    <w:rsid w:val="003969AB"/>
    <w:rsid w:val="003A65B3"/>
    <w:rsid w:val="003B2904"/>
    <w:rsid w:val="003B53A5"/>
    <w:rsid w:val="003B7A3F"/>
    <w:rsid w:val="003C6D26"/>
    <w:rsid w:val="003C729E"/>
    <w:rsid w:val="003D56B2"/>
    <w:rsid w:val="003D611D"/>
    <w:rsid w:val="003E7B70"/>
    <w:rsid w:val="003F177E"/>
    <w:rsid w:val="003F49F3"/>
    <w:rsid w:val="003F59C8"/>
    <w:rsid w:val="003F729A"/>
    <w:rsid w:val="00401708"/>
    <w:rsid w:val="00407D8B"/>
    <w:rsid w:val="00413DC0"/>
    <w:rsid w:val="004142F3"/>
    <w:rsid w:val="00416812"/>
    <w:rsid w:val="00417A87"/>
    <w:rsid w:val="00417AA4"/>
    <w:rsid w:val="004265C3"/>
    <w:rsid w:val="004279ED"/>
    <w:rsid w:val="00431121"/>
    <w:rsid w:val="00436329"/>
    <w:rsid w:val="00441827"/>
    <w:rsid w:val="00444C40"/>
    <w:rsid w:val="00457013"/>
    <w:rsid w:val="00461BDD"/>
    <w:rsid w:val="004667F8"/>
    <w:rsid w:val="00470723"/>
    <w:rsid w:val="004820BE"/>
    <w:rsid w:val="00483597"/>
    <w:rsid w:val="00483D6D"/>
    <w:rsid w:val="0048463A"/>
    <w:rsid w:val="00487334"/>
    <w:rsid w:val="004B3E98"/>
    <w:rsid w:val="004C3D23"/>
    <w:rsid w:val="004C3F0C"/>
    <w:rsid w:val="004C6309"/>
    <w:rsid w:val="004D4BBD"/>
    <w:rsid w:val="004E1D22"/>
    <w:rsid w:val="00502287"/>
    <w:rsid w:val="00516FBD"/>
    <w:rsid w:val="005235B9"/>
    <w:rsid w:val="00525F16"/>
    <w:rsid w:val="00530E3F"/>
    <w:rsid w:val="0053781B"/>
    <w:rsid w:val="00556934"/>
    <w:rsid w:val="00557C42"/>
    <w:rsid w:val="00557D51"/>
    <w:rsid w:val="005603AF"/>
    <w:rsid w:val="00563F92"/>
    <w:rsid w:val="00574A34"/>
    <w:rsid w:val="00576A7D"/>
    <w:rsid w:val="005815B9"/>
    <w:rsid w:val="00583766"/>
    <w:rsid w:val="00585639"/>
    <w:rsid w:val="00597DE5"/>
    <w:rsid w:val="005A13A5"/>
    <w:rsid w:val="005B09D6"/>
    <w:rsid w:val="005B1C19"/>
    <w:rsid w:val="005B1EAB"/>
    <w:rsid w:val="005B293E"/>
    <w:rsid w:val="005C4AEF"/>
    <w:rsid w:val="005D2CA2"/>
    <w:rsid w:val="005D3083"/>
    <w:rsid w:val="00604D2C"/>
    <w:rsid w:val="0060598C"/>
    <w:rsid w:val="00612E26"/>
    <w:rsid w:val="00614A00"/>
    <w:rsid w:val="006166CD"/>
    <w:rsid w:val="00626489"/>
    <w:rsid w:val="006266E3"/>
    <w:rsid w:val="006305D0"/>
    <w:rsid w:val="00630B40"/>
    <w:rsid w:val="006339A3"/>
    <w:rsid w:val="00633B47"/>
    <w:rsid w:val="00640C03"/>
    <w:rsid w:val="00644F1B"/>
    <w:rsid w:val="00645761"/>
    <w:rsid w:val="00650262"/>
    <w:rsid w:val="00653C78"/>
    <w:rsid w:val="006821C1"/>
    <w:rsid w:val="00691B4B"/>
    <w:rsid w:val="00693787"/>
    <w:rsid w:val="0069393A"/>
    <w:rsid w:val="006A3E4C"/>
    <w:rsid w:val="006A535E"/>
    <w:rsid w:val="006B02B7"/>
    <w:rsid w:val="006B70D6"/>
    <w:rsid w:val="006D1CBD"/>
    <w:rsid w:val="006D3768"/>
    <w:rsid w:val="006D4EB9"/>
    <w:rsid w:val="006E09E3"/>
    <w:rsid w:val="006E1119"/>
    <w:rsid w:val="006E752F"/>
    <w:rsid w:val="006F1AD4"/>
    <w:rsid w:val="006F214E"/>
    <w:rsid w:val="00703F79"/>
    <w:rsid w:val="00704493"/>
    <w:rsid w:val="00704E2B"/>
    <w:rsid w:val="0070713B"/>
    <w:rsid w:val="007143D0"/>
    <w:rsid w:val="00721505"/>
    <w:rsid w:val="00721B5F"/>
    <w:rsid w:val="007253DB"/>
    <w:rsid w:val="00726D02"/>
    <w:rsid w:val="007313E2"/>
    <w:rsid w:val="00731D18"/>
    <w:rsid w:val="00734EF4"/>
    <w:rsid w:val="00735349"/>
    <w:rsid w:val="00737902"/>
    <w:rsid w:val="00740B39"/>
    <w:rsid w:val="007448B2"/>
    <w:rsid w:val="00745172"/>
    <w:rsid w:val="0076021C"/>
    <w:rsid w:val="0076092E"/>
    <w:rsid w:val="00761F71"/>
    <w:rsid w:val="007647DC"/>
    <w:rsid w:val="00771F68"/>
    <w:rsid w:val="00772B2A"/>
    <w:rsid w:val="00772E19"/>
    <w:rsid w:val="00781C5F"/>
    <w:rsid w:val="00782E90"/>
    <w:rsid w:val="007853E4"/>
    <w:rsid w:val="007866D8"/>
    <w:rsid w:val="007C10D0"/>
    <w:rsid w:val="007C261D"/>
    <w:rsid w:val="007C556A"/>
    <w:rsid w:val="007D1675"/>
    <w:rsid w:val="007D3219"/>
    <w:rsid w:val="007D3DFF"/>
    <w:rsid w:val="007D44B2"/>
    <w:rsid w:val="007D4C7A"/>
    <w:rsid w:val="007D5390"/>
    <w:rsid w:val="007D5DD7"/>
    <w:rsid w:val="007E1FC4"/>
    <w:rsid w:val="007E6DF5"/>
    <w:rsid w:val="007F7510"/>
    <w:rsid w:val="00800C7A"/>
    <w:rsid w:val="00801BC5"/>
    <w:rsid w:val="00803E5B"/>
    <w:rsid w:val="008046B4"/>
    <w:rsid w:val="0080609D"/>
    <w:rsid w:val="00806EFA"/>
    <w:rsid w:val="00815D90"/>
    <w:rsid w:val="008166E1"/>
    <w:rsid w:val="008319EF"/>
    <w:rsid w:val="008355B2"/>
    <w:rsid w:val="00844008"/>
    <w:rsid w:val="008451B8"/>
    <w:rsid w:val="00845F64"/>
    <w:rsid w:val="00887B4F"/>
    <w:rsid w:val="00897A90"/>
    <w:rsid w:val="008A254C"/>
    <w:rsid w:val="008A4140"/>
    <w:rsid w:val="008B5F03"/>
    <w:rsid w:val="008C3A87"/>
    <w:rsid w:val="008C5DE5"/>
    <w:rsid w:val="008D2515"/>
    <w:rsid w:val="008D2C78"/>
    <w:rsid w:val="008D7629"/>
    <w:rsid w:val="008E50AC"/>
    <w:rsid w:val="008E68F8"/>
    <w:rsid w:val="008E6A8F"/>
    <w:rsid w:val="008F12D6"/>
    <w:rsid w:val="008F3219"/>
    <w:rsid w:val="00924967"/>
    <w:rsid w:val="00930949"/>
    <w:rsid w:val="009362E0"/>
    <w:rsid w:val="0094471C"/>
    <w:rsid w:val="00950513"/>
    <w:rsid w:val="009508CB"/>
    <w:rsid w:val="00964F1E"/>
    <w:rsid w:val="00975780"/>
    <w:rsid w:val="0097585F"/>
    <w:rsid w:val="00982ACF"/>
    <w:rsid w:val="00985937"/>
    <w:rsid w:val="00987509"/>
    <w:rsid w:val="00995859"/>
    <w:rsid w:val="00996269"/>
    <w:rsid w:val="00997877"/>
    <w:rsid w:val="009A4653"/>
    <w:rsid w:val="009A61E5"/>
    <w:rsid w:val="009B17E5"/>
    <w:rsid w:val="009C04D8"/>
    <w:rsid w:val="009C218B"/>
    <w:rsid w:val="009C31AF"/>
    <w:rsid w:val="009D2C93"/>
    <w:rsid w:val="009E14E1"/>
    <w:rsid w:val="009E45BA"/>
    <w:rsid w:val="009F1702"/>
    <w:rsid w:val="009F34DB"/>
    <w:rsid w:val="00A0753C"/>
    <w:rsid w:val="00A0797B"/>
    <w:rsid w:val="00A20E8E"/>
    <w:rsid w:val="00A21BD6"/>
    <w:rsid w:val="00A255BA"/>
    <w:rsid w:val="00A30073"/>
    <w:rsid w:val="00A35457"/>
    <w:rsid w:val="00A36004"/>
    <w:rsid w:val="00A40338"/>
    <w:rsid w:val="00A446B8"/>
    <w:rsid w:val="00A44DB5"/>
    <w:rsid w:val="00A46605"/>
    <w:rsid w:val="00A51CE8"/>
    <w:rsid w:val="00A529E5"/>
    <w:rsid w:val="00A52A74"/>
    <w:rsid w:val="00A855B9"/>
    <w:rsid w:val="00AA0E82"/>
    <w:rsid w:val="00AA0F5D"/>
    <w:rsid w:val="00AA509A"/>
    <w:rsid w:val="00AB058E"/>
    <w:rsid w:val="00AB1917"/>
    <w:rsid w:val="00AB40A3"/>
    <w:rsid w:val="00AB418D"/>
    <w:rsid w:val="00AC0DF0"/>
    <w:rsid w:val="00AE117D"/>
    <w:rsid w:val="00AE2AF9"/>
    <w:rsid w:val="00AE7F46"/>
    <w:rsid w:val="00AF38BC"/>
    <w:rsid w:val="00B00853"/>
    <w:rsid w:val="00B1351E"/>
    <w:rsid w:val="00B15DF9"/>
    <w:rsid w:val="00B16599"/>
    <w:rsid w:val="00B17F00"/>
    <w:rsid w:val="00B20E3F"/>
    <w:rsid w:val="00B2346F"/>
    <w:rsid w:val="00B259AB"/>
    <w:rsid w:val="00B32A33"/>
    <w:rsid w:val="00B37233"/>
    <w:rsid w:val="00B4181A"/>
    <w:rsid w:val="00B515EC"/>
    <w:rsid w:val="00B575E9"/>
    <w:rsid w:val="00B63DFE"/>
    <w:rsid w:val="00B67551"/>
    <w:rsid w:val="00B75ADF"/>
    <w:rsid w:val="00B75FCE"/>
    <w:rsid w:val="00B77AEE"/>
    <w:rsid w:val="00B816EB"/>
    <w:rsid w:val="00B85E47"/>
    <w:rsid w:val="00B91F1F"/>
    <w:rsid w:val="00B921F3"/>
    <w:rsid w:val="00B93FE1"/>
    <w:rsid w:val="00B97565"/>
    <w:rsid w:val="00BA619E"/>
    <w:rsid w:val="00BA6833"/>
    <w:rsid w:val="00BA6967"/>
    <w:rsid w:val="00BB22E8"/>
    <w:rsid w:val="00BB2D43"/>
    <w:rsid w:val="00BB7B54"/>
    <w:rsid w:val="00BC0D57"/>
    <w:rsid w:val="00BC190F"/>
    <w:rsid w:val="00BD108F"/>
    <w:rsid w:val="00BD58C5"/>
    <w:rsid w:val="00BE0825"/>
    <w:rsid w:val="00BE3543"/>
    <w:rsid w:val="00BF1505"/>
    <w:rsid w:val="00BF1B1A"/>
    <w:rsid w:val="00C054C3"/>
    <w:rsid w:val="00C057A4"/>
    <w:rsid w:val="00C20243"/>
    <w:rsid w:val="00C26373"/>
    <w:rsid w:val="00C31250"/>
    <w:rsid w:val="00C32A13"/>
    <w:rsid w:val="00C3478D"/>
    <w:rsid w:val="00C351CE"/>
    <w:rsid w:val="00C36D57"/>
    <w:rsid w:val="00C377B9"/>
    <w:rsid w:val="00C43C6A"/>
    <w:rsid w:val="00C52E9C"/>
    <w:rsid w:val="00C57539"/>
    <w:rsid w:val="00C601DA"/>
    <w:rsid w:val="00C70724"/>
    <w:rsid w:val="00C737D0"/>
    <w:rsid w:val="00C73D9F"/>
    <w:rsid w:val="00C75BD6"/>
    <w:rsid w:val="00C808E7"/>
    <w:rsid w:val="00C82568"/>
    <w:rsid w:val="00C8315A"/>
    <w:rsid w:val="00C845EF"/>
    <w:rsid w:val="00C93382"/>
    <w:rsid w:val="00CA51F5"/>
    <w:rsid w:val="00CA5315"/>
    <w:rsid w:val="00CC0296"/>
    <w:rsid w:val="00CC1C4D"/>
    <w:rsid w:val="00CC1E5E"/>
    <w:rsid w:val="00CC2511"/>
    <w:rsid w:val="00CC2BCB"/>
    <w:rsid w:val="00CC500D"/>
    <w:rsid w:val="00CD0C81"/>
    <w:rsid w:val="00CD331D"/>
    <w:rsid w:val="00CD3DA4"/>
    <w:rsid w:val="00CD50B7"/>
    <w:rsid w:val="00CD515E"/>
    <w:rsid w:val="00CF0101"/>
    <w:rsid w:val="00CF0786"/>
    <w:rsid w:val="00CF0BF0"/>
    <w:rsid w:val="00CF4D25"/>
    <w:rsid w:val="00D069D4"/>
    <w:rsid w:val="00D07F9A"/>
    <w:rsid w:val="00D101A1"/>
    <w:rsid w:val="00D27F57"/>
    <w:rsid w:val="00D30D61"/>
    <w:rsid w:val="00D36259"/>
    <w:rsid w:val="00D43F28"/>
    <w:rsid w:val="00D53238"/>
    <w:rsid w:val="00D5344B"/>
    <w:rsid w:val="00D605FB"/>
    <w:rsid w:val="00D647E3"/>
    <w:rsid w:val="00D710BD"/>
    <w:rsid w:val="00D74A54"/>
    <w:rsid w:val="00D84016"/>
    <w:rsid w:val="00D84348"/>
    <w:rsid w:val="00D90D59"/>
    <w:rsid w:val="00DA05E7"/>
    <w:rsid w:val="00DA2BCE"/>
    <w:rsid w:val="00DA3B38"/>
    <w:rsid w:val="00DA3D1B"/>
    <w:rsid w:val="00DA5654"/>
    <w:rsid w:val="00DB2A63"/>
    <w:rsid w:val="00DB3145"/>
    <w:rsid w:val="00DB3E5B"/>
    <w:rsid w:val="00DB6EDB"/>
    <w:rsid w:val="00DC310B"/>
    <w:rsid w:val="00DC665C"/>
    <w:rsid w:val="00DC6988"/>
    <w:rsid w:val="00DC6B4E"/>
    <w:rsid w:val="00DC6EC0"/>
    <w:rsid w:val="00DE3216"/>
    <w:rsid w:val="00DE32D8"/>
    <w:rsid w:val="00DE5B23"/>
    <w:rsid w:val="00E00421"/>
    <w:rsid w:val="00E05A25"/>
    <w:rsid w:val="00E061AD"/>
    <w:rsid w:val="00E11291"/>
    <w:rsid w:val="00E149BA"/>
    <w:rsid w:val="00E1646E"/>
    <w:rsid w:val="00E27A30"/>
    <w:rsid w:val="00E37997"/>
    <w:rsid w:val="00E37C54"/>
    <w:rsid w:val="00E50310"/>
    <w:rsid w:val="00E51FE4"/>
    <w:rsid w:val="00E53FA5"/>
    <w:rsid w:val="00E601F4"/>
    <w:rsid w:val="00E65B59"/>
    <w:rsid w:val="00E751D5"/>
    <w:rsid w:val="00E82666"/>
    <w:rsid w:val="00E854F0"/>
    <w:rsid w:val="00E87AA6"/>
    <w:rsid w:val="00E87B14"/>
    <w:rsid w:val="00E91221"/>
    <w:rsid w:val="00E954D0"/>
    <w:rsid w:val="00E95B21"/>
    <w:rsid w:val="00EA092D"/>
    <w:rsid w:val="00EA0F0F"/>
    <w:rsid w:val="00EA4B74"/>
    <w:rsid w:val="00EB5F4E"/>
    <w:rsid w:val="00EC3DAF"/>
    <w:rsid w:val="00EC4380"/>
    <w:rsid w:val="00EC4C89"/>
    <w:rsid w:val="00ED1917"/>
    <w:rsid w:val="00ED79C0"/>
    <w:rsid w:val="00EF4DB9"/>
    <w:rsid w:val="00EF66A3"/>
    <w:rsid w:val="00F0073E"/>
    <w:rsid w:val="00F02E75"/>
    <w:rsid w:val="00F10F7E"/>
    <w:rsid w:val="00F115CC"/>
    <w:rsid w:val="00F131BD"/>
    <w:rsid w:val="00F16A20"/>
    <w:rsid w:val="00F209DC"/>
    <w:rsid w:val="00F31C67"/>
    <w:rsid w:val="00F32568"/>
    <w:rsid w:val="00F35747"/>
    <w:rsid w:val="00F36048"/>
    <w:rsid w:val="00F44ACE"/>
    <w:rsid w:val="00F44D70"/>
    <w:rsid w:val="00F46BA3"/>
    <w:rsid w:val="00F4743F"/>
    <w:rsid w:val="00F5319E"/>
    <w:rsid w:val="00F53660"/>
    <w:rsid w:val="00F551A0"/>
    <w:rsid w:val="00F56A12"/>
    <w:rsid w:val="00F653DC"/>
    <w:rsid w:val="00F702BD"/>
    <w:rsid w:val="00F71CC9"/>
    <w:rsid w:val="00F71D7A"/>
    <w:rsid w:val="00F72796"/>
    <w:rsid w:val="00F73E29"/>
    <w:rsid w:val="00F8023A"/>
    <w:rsid w:val="00F91718"/>
    <w:rsid w:val="00F93BE6"/>
    <w:rsid w:val="00F9675F"/>
    <w:rsid w:val="00FA0B47"/>
    <w:rsid w:val="00FA2C7F"/>
    <w:rsid w:val="00FA2D9E"/>
    <w:rsid w:val="00FA4C37"/>
    <w:rsid w:val="00FB0461"/>
    <w:rsid w:val="00FC663D"/>
    <w:rsid w:val="00FD2A99"/>
    <w:rsid w:val="00FD554F"/>
    <w:rsid w:val="00FD6B13"/>
    <w:rsid w:val="00FE224E"/>
    <w:rsid w:val="00FE3E50"/>
    <w:rsid w:val="00FE4BC8"/>
    <w:rsid w:val="00FF48DF"/>
    <w:rsid w:val="00FF6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3F4EC3B-9A33-4F80-A4A0-28334DBC6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1718"/>
    <w:rPr>
      <w:lang w:val="sq-AL" w:eastAsia="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eastAsia="MS Mincho" w:hAnsi="Tahoma"/>
      <w:lang w:val="en-GB"/>
    </w:rPr>
  </w:style>
  <w:style w:type="character" w:customStyle="1" w:styleId="CharChar1">
    <w:name w:val=" Char Char1"/>
    <w:basedOn w:val="DefaultParagraphFont"/>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eastAsia="MS Mincho" w:hAnsi="Arial"/>
      <w:noProof/>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eastAsia="MS Mincho" w:hAnsi="Arial"/>
      <w:noProof/>
      <w:lang w:val="nl-NL"/>
    </w:rPr>
  </w:style>
  <w:style w:type="paragraph" w:customStyle="1" w:styleId="bcverylastpara">
    <w:name w:val="bc very last para"/>
    <w:basedOn w:val="Normal"/>
    <w:rsid w:val="00B20E3F"/>
    <w:pPr>
      <w:widowControl w:val="0"/>
      <w:spacing w:after="720"/>
      <w:ind w:left="1134"/>
      <w:jc w:val="both"/>
    </w:pPr>
    <w:rPr>
      <w:rFonts w:ascii="Arial" w:eastAsia="MS Mincho" w:hAnsi="Arial"/>
      <w:lang w:val="en-GB"/>
    </w:rPr>
  </w:style>
  <w:style w:type="paragraph" w:customStyle="1" w:styleId="bcverylastparaa">
    <w:name w:val="bc very last para (a)"/>
    <w:basedOn w:val="Normal"/>
    <w:rsid w:val="00B20E3F"/>
    <w:pPr>
      <w:widowControl w:val="0"/>
      <w:spacing w:after="720"/>
      <w:ind w:left="1843" w:hanging="709"/>
      <w:jc w:val="both"/>
    </w:pPr>
    <w:rPr>
      <w:rFonts w:ascii="Arial" w:eastAsia="MS Mincho" w:hAnsi="Arial"/>
      <w:noProof/>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eastAsia="MS Mincho" w:hAnsi="Trebuchet MS"/>
      <w:szCs w:val="22"/>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eastAsia="MS Mincho" w:hAnsi="Trebuchet MS"/>
      <w:sz w:val="22"/>
      <w:szCs w:val="22"/>
    </w:rPr>
  </w:style>
  <w:style w:type="paragraph" w:customStyle="1" w:styleId="BULLETUDHEZIM">
    <w:name w:val="BULLET UDHEZIM"/>
    <w:basedOn w:val="Normal"/>
    <w:rsid w:val="00B20E3F"/>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eastAsia="MS Mincho" w:hAnsi="CG Times"/>
      <w:kern w:val="28"/>
      <w:sz w:val="22"/>
      <w:lang w:val="en-GB"/>
    </w:rPr>
  </w:style>
  <w:style w:type="paragraph" w:customStyle="1" w:styleId="Listbullet">
    <w:name w:val="List bullet"/>
    <w:basedOn w:val="Normal"/>
    <w:rsid w:val="00B20E3F"/>
    <w:pPr>
      <w:widowControl w:val="0"/>
      <w:spacing w:after="120"/>
    </w:pPr>
    <w:rPr>
      <w:rFonts w:ascii="Trebuchet MS" w:eastAsia="MS Mincho" w:hAnsi="Trebuchet MS"/>
      <w:sz w:val="22"/>
      <w:lang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eastAsia="MS Mincho" w:hAnsi="Bookman Old Style"/>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eastAsia="MS Mincho" w:hAnsi="Trebuchet MS"/>
      <w:sz w:val="22"/>
      <w:szCs w:val="22"/>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link w:val="ParagrafiChar"/>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eastAsia="MS Mincho" w:hAnsi="CG Times"/>
      <w:sz w:val="22"/>
      <w:szCs w:val="22"/>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eastAsia="MS Mincho" w:hAnsi="CG Times"/>
      <w:sz w:val="22"/>
      <w:szCs w:val="22"/>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eastAsia="MS Mincho" w:hAnsi="Trebuchet MS"/>
      <w:b/>
      <w:bCs/>
      <w:sz w:val="22"/>
      <w:lang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eastAsia="MS Mincho" w:hAnsi="Trebuchet MS"/>
      <w:sz w:val="18"/>
      <w:lang w:val="en-GB" w:eastAsia="en-GB"/>
    </w:rPr>
  </w:style>
  <w:style w:type="paragraph" w:customStyle="1" w:styleId="TableText">
    <w:name w:val="Table Text"/>
    <w:basedOn w:val="BodyText"/>
    <w:rsid w:val="00B20E3F"/>
    <w:pPr>
      <w:spacing w:before="40" w:after="40"/>
      <w:jc w:val="both"/>
    </w:pPr>
    <w:rPr>
      <w:rFonts w:ascii="Trebuchet MS" w:eastAsia="MS Mincho" w:hAnsi="Trebuchet MS"/>
      <w:sz w:val="18"/>
      <w:szCs w:val="22"/>
      <w:lang w:val="it-IT"/>
    </w:rPr>
  </w:style>
  <w:style w:type="paragraph" w:customStyle="1" w:styleId="text">
    <w:name w:val="text"/>
    <w:basedOn w:val="Normal"/>
    <w:rsid w:val="00B20E3F"/>
    <w:pPr>
      <w:widowControl w:val="0"/>
      <w:ind w:left="709"/>
      <w:jc w:val="both"/>
    </w:pPr>
    <w:rPr>
      <w:rFonts w:ascii="Arial" w:eastAsia="MS Mincho" w:hAnsi="Arial"/>
      <w:lang w:val="fr-FR"/>
    </w:rPr>
  </w:style>
  <w:style w:type="paragraph" w:customStyle="1" w:styleId="Titulli">
    <w:name w:val="Titulli"/>
    <w:next w:val="Normal"/>
    <w:link w:val="TitulliChar"/>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eastAsia="MS Mincho" w:hAnsi="Book Antiqua"/>
      <w:b/>
      <w:bCs/>
    </w:rPr>
  </w:style>
  <w:style w:type="paragraph" w:customStyle="1" w:styleId="xl23">
    <w:name w:val="xl23"/>
    <w:basedOn w:val="Normal"/>
    <w:rsid w:val="00B20E3F"/>
    <w:pPr>
      <w:spacing w:before="100" w:beforeAutospacing="1" w:after="100" w:afterAutospacing="1"/>
    </w:pPr>
    <w:rPr>
      <w:rFonts w:ascii="Book Antiqua" w:eastAsia="MS Mincho" w:hAnsi="Book Antiqua"/>
    </w:rPr>
  </w:style>
  <w:style w:type="paragraph" w:customStyle="1" w:styleId="xl24">
    <w:name w:val="xl24"/>
    <w:basedOn w:val="Normal"/>
    <w:rsid w:val="00B20E3F"/>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rFonts w:eastAsia="MS Mincho"/>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rFonts w:eastAsia="MS Mincho"/>
    </w:rPr>
  </w:style>
  <w:style w:type="paragraph" w:customStyle="1" w:styleId="xl31">
    <w:name w:val="xl31"/>
    <w:basedOn w:val="Normal"/>
    <w:rsid w:val="00B20E3F"/>
    <w:pPr>
      <w:pBdr>
        <w:bottom w:val="single" w:sz="4" w:space="0" w:color="auto"/>
      </w:pBdr>
      <w:spacing w:before="100" w:beforeAutospacing="1" w:after="100" w:afterAutospacing="1"/>
    </w:pPr>
    <w:rPr>
      <w:rFonts w:eastAsia="MS Mincho"/>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rFonts w:eastAsia="MS Mincho"/>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rPr>
  </w:style>
  <w:style w:type="character" w:customStyle="1" w:styleId="ParagrafiChar">
    <w:name w:val="Paragrafi Char"/>
    <w:basedOn w:val="DefaultParagraphFont"/>
    <w:link w:val="Paragrafi"/>
    <w:rsid w:val="00F91718"/>
    <w:rPr>
      <w:rFonts w:ascii="CG Times" w:hAnsi="CG Times"/>
      <w:sz w:val="22"/>
      <w:lang w:val="en-US" w:eastAsia="en-US" w:bidi="ar-SA"/>
    </w:rPr>
  </w:style>
  <w:style w:type="character" w:customStyle="1" w:styleId="TitulliChar">
    <w:name w:val="Titulli Char"/>
    <w:basedOn w:val="DefaultParagraphFont"/>
    <w:link w:val="Titulli"/>
    <w:rsid w:val="00F91718"/>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327</Words>
  <Characters>1868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2191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2019-03-17T18:08:00Z</dcterms:created>
  <dcterms:modified xsi:type="dcterms:W3CDTF">2019-03-17T18:08:00Z</dcterms:modified>
</cp:coreProperties>
</file>