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44A" w:rsidRPr="009B3192" w:rsidRDefault="00A2344A" w:rsidP="00A2344A">
      <w:pPr>
        <w:pStyle w:val="Akti"/>
        <w:rPr>
          <w:color w:val="auto"/>
          <w:sz w:val="21"/>
          <w:szCs w:val="21"/>
        </w:rPr>
      </w:pPr>
      <w:r w:rsidRPr="009B3192">
        <w:rPr>
          <w:color w:val="auto"/>
          <w:sz w:val="21"/>
          <w:szCs w:val="21"/>
        </w:rPr>
        <w:t>VENDIM</w:t>
      </w:r>
    </w:p>
    <w:p w:rsidR="00A2344A" w:rsidRPr="009B3192" w:rsidRDefault="00A2344A" w:rsidP="00A2344A">
      <w:pPr>
        <w:pStyle w:val="NumriData"/>
        <w:rPr>
          <w:sz w:val="21"/>
          <w:szCs w:val="21"/>
        </w:rPr>
      </w:pPr>
      <w:r w:rsidRPr="009B3192">
        <w:rPr>
          <w:sz w:val="21"/>
          <w:szCs w:val="21"/>
        </w:rPr>
        <w:t xml:space="preserve">Nr.997, </w:t>
      </w:r>
      <w:proofErr w:type="spellStart"/>
      <w:r w:rsidRPr="009B3192">
        <w:rPr>
          <w:sz w:val="21"/>
          <w:szCs w:val="21"/>
        </w:rPr>
        <w:t>datë</w:t>
      </w:r>
      <w:proofErr w:type="spellEnd"/>
      <w:r w:rsidRPr="009B3192">
        <w:rPr>
          <w:sz w:val="21"/>
          <w:szCs w:val="21"/>
        </w:rPr>
        <w:t xml:space="preserve"> 10.12.2010</w:t>
      </w:r>
    </w:p>
    <w:p w:rsidR="00A2344A" w:rsidRPr="009B3192" w:rsidRDefault="00A2344A" w:rsidP="00A2344A">
      <w:pPr>
        <w:pStyle w:val="Paragrafi"/>
        <w:rPr>
          <w:sz w:val="14"/>
          <w:szCs w:val="21"/>
        </w:rPr>
      </w:pPr>
    </w:p>
    <w:p w:rsidR="00A2344A" w:rsidRPr="009B3192" w:rsidRDefault="00A2344A" w:rsidP="00A2344A">
      <w:pPr>
        <w:pStyle w:val="Titulli"/>
        <w:rPr>
          <w:sz w:val="21"/>
          <w:szCs w:val="21"/>
        </w:rPr>
      </w:pPr>
      <w:r w:rsidRPr="009B3192">
        <w:rPr>
          <w:sz w:val="21"/>
          <w:szCs w:val="21"/>
        </w:rPr>
        <w:t>PËR TRAJTIMIN FINANCIAR TË PUNONJËSVE QË DËRGOHEN ME SHËRBIM JASHTË QENDRËS SË PUNËS, BRENDA VENDIT</w:t>
      </w:r>
    </w:p>
    <w:p w:rsidR="006C6A27" w:rsidRPr="009B3192" w:rsidRDefault="006C6A27" w:rsidP="009B3192">
      <w:pPr>
        <w:jc w:val="center"/>
        <w:rPr>
          <w:i/>
          <w:lang w:val="en-GB"/>
        </w:rPr>
      </w:pPr>
      <w:r w:rsidRPr="009B3192">
        <w:rPr>
          <w:i/>
          <w:lang w:val="en-GB"/>
        </w:rPr>
        <w:t>(Ndryshuar me VKM nr.813 dat</w:t>
      </w:r>
      <w:r w:rsidR="000D0D56" w:rsidRPr="009B3192">
        <w:rPr>
          <w:i/>
          <w:lang w:val="en-GB"/>
        </w:rPr>
        <w:t>ë</w:t>
      </w:r>
      <w:r w:rsidR="00AA2344" w:rsidRPr="009B3192">
        <w:rPr>
          <w:i/>
          <w:lang w:val="en-GB"/>
        </w:rPr>
        <w:t xml:space="preserve"> 21.11.2012</w:t>
      </w:r>
      <w:r w:rsidRPr="009B3192">
        <w:rPr>
          <w:i/>
          <w:lang w:val="en-GB"/>
        </w:rPr>
        <w:t>, me VKM nr.558 dat</w:t>
      </w:r>
      <w:r w:rsidR="000D0D56" w:rsidRPr="009B3192">
        <w:rPr>
          <w:i/>
          <w:lang w:val="en-GB"/>
        </w:rPr>
        <w:t>ë</w:t>
      </w:r>
      <w:r w:rsidRPr="009B3192">
        <w:rPr>
          <w:i/>
          <w:lang w:val="en-GB"/>
        </w:rPr>
        <w:t xml:space="preserve"> 3.07.2013, me VKM nr.617 dat</w:t>
      </w:r>
      <w:r w:rsidR="000D0D56" w:rsidRPr="009B3192">
        <w:rPr>
          <w:i/>
          <w:lang w:val="en-GB"/>
        </w:rPr>
        <w:t>ë</w:t>
      </w:r>
      <w:r w:rsidRPr="009B3192">
        <w:rPr>
          <w:i/>
          <w:lang w:val="en-GB"/>
        </w:rPr>
        <w:t xml:space="preserve"> 24.07.2013, me VKM nr.6 dat</w:t>
      </w:r>
      <w:r w:rsidR="000D0D56" w:rsidRPr="009B3192">
        <w:rPr>
          <w:i/>
          <w:lang w:val="en-GB"/>
        </w:rPr>
        <w:t>ë</w:t>
      </w:r>
      <w:r w:rsidRPr="009B3192">
        <w:rPr>
          <w:i/>
          <w:lang w:val="en-GB"/>
        </w:rPr>
        <w:t xml:space="preserve"> 8.01.2014, me VKM nr.329 dat</w:t>
      </w:r>
      <w:r w:rsidR="000D0D56" w:rsidRPr="009B3192">
        <w:rPr>
          <w:i/>
          <w:lang w:val="en-GB"/>
        </w:rPr>
        <w:t>ë</w:t>
      </w:r>
      <w:r w:rsidRPr="009B3192">
        <w:rPr>
          <w:i/>
          <w:lang w:val="en-GB"/>
        </w:rPr>
        <w:t xml:space="preserve"> 20.04.2016</w:t>
      </w:r>
      <w:r w:rsidR="00C14185">
        <w:rPr>
          <w:i/>
          <w:lang w:val="en-GB"/>
        </w:rPr>
        <w:t>,</w:t>
      </w:r>
      <w:r w:rsidR="00C14185" w:rsidRPr="00C14185">
        <w:t xml:space="preserve"> </w:t>
      </w:r>
      <w:r w:rsidR="00C14185">
        <w:rPr>
          <w:i/>
          <w:lang w:val="en-GB"/>
        </w:rPr>
        <w:t>n</w:t>
      </w:r>
      <w:r w:rsidR="00C14185" w:rsidRPr="00C14185">
        <w:rPr>
          <w:i/>
          <w:lang w:val="en-GB"/>
        </w:rPr>
        <w:t>r. 130, datë 7.3.2018</w:t>
      </w:r>
      <w:r w:rsidR="00C14185">
        <w:rPr>
          <w:i/>
          <w:lang w:val="en-GB"/>
        </w:rPr>
        <w:t xml:space="preserve"> </w:t>
      </w:r>
      <w:r w:rsidRPr="009B3192">
        <w:rPr>
          <w:i/>
          <w:lang w:val="en-GB"/>
        </w:rPr>
        <w:t>)</w:t>
      </w:r>
    </w:p>
    <w:p w:rsidR="009B3192" w:rsidRPr="009B3192" w:rsidRDefault="009B3192" w:rsidP="006C6A27">
      <w:pPr>
        <w:jc w:val="right"/>
        <w:rPr>
          <w:i/>
          <w:lang w:val="en-GB"/>
        </w:rPr>
      </w:pPr>
    </w:p>
    <w:p w:rsidR="006C6A27" w:rsidRPr="009B3192" w:rsidRDefault="006C6A27" w:rsidP="006C6A27">
      <w:pPr>
        <w:jc w:val="right"/>
        <w:rPr>
          <w:i/>
          <w:lang w:val="en-GB"/>
        </w:rPr>
      </w:pPr>
      <w:r w:rsidRPr="009B3192">
        <w:rPr>
          <w:i/>
          <w:lang w:val="en-GB"/>
        </w:rPr>
        <w:t>(I p</w:t>
      </w:r>
      <w:r w:rsidR="000D0D56" w:rsidRPr="009B3192">
        <w:rPr>
          <w:i/>
          <w:lang w:val="en-GB"/>
        </w:rPr>
        <w:t>ë</w:t>
      </w:r>
      <w:r w:rsidRPr="009B3192">
        <w:rPr>
          <w:i/>
          <w:lang w:val="en-GB"/>
        </w:rPr>
        <w:t>rdit</w:t>
      </w:r>
      <w:r w:rsidR="000D0D56" w:rsidRPr="009B3192">
        <w:rPr>
          <w:i/>
          <w:lang w:val="en-GB"/>
        </w:rPr>
        <w:t>ë</w:t>
      </w:r>
      <w:r w:rsidRPr="009B3192">
        <w:rPr>
          <w:i/>
          <w:lang w:val="en-GB"/>
        </w:rPr>
        <w:t>suar)</w:t>
      </w:r>
    </w:p>
    <w:p w:rsidR="00A2344A" w:rsidRPr="009B3192" w:rsidRDefault="00A2344A" w:rsidP="00A2344A">
      <w:pPr>
        <w:pStyle w:val="BazLigjPropozues"/>
        <w:rPr>
          <w:color w:val="auto"/>
          <w:sz w:val="14"/>
          <w:szCs w:val="21"/>
        </w:rPr>
      </w:pPr>
    </w:p>
    <w:p w:rsidR="006C6A27" w:rsidRPr="009B3192" w:rsidRDefault="006C6A27" w:rsidP="00A2344A">
      <w:pPr>
        <w:pStyle w:val="BazLigjPropozues"/>
        <w:rPr>
          <w:color w:val="auto"/>
          <w:sz w:val="14"/>
          <w:szCs w:val="21"/>
        </w:rPr>
      </w:pPr>
    </w:p>
    <w:p w:rsidR="00A2344A" w:rsidRPr="009B3192" w:rsidRDefault="00A2344A" w:rsidP="00A2344A">
      <w:pPr>
        <w:pStyle w:val="BazLigjPropozues"/>
        <w:rPr>
          <w:color w:val="auto"/>
          <w:sz w:val="21"/>
          <w:szCs w:val="21"/>
        </w:rPr>
      </w:pPr>
      <w:proofErr w:type="spellStart"/>
      <w:r w:rsidRPr="009B3192">
        <w:rPr>
          <w:color w:val="auto"/>
          <w:sz w:val="21"/>
          <w:szCs w:val="21"/>
        </w:rPr>
        <w:t>Në</w:t>
      </w:r>
      <w:proofErr w:type="spellEnd"/>
      <w:r w:rsidRPr="009B3192">
        <w:rPr>
          <w:color w:val="auto"/>
          <w:sz w:val="21"/>
          <w:szCs w:val="21"/>
        </w:rPr>
        <w:t xml:space="preserve"> </w:t>
      </w:r>
      <w:proofErr w:type="spellStart"/>
      <w:r w:rsidRPr="009B3192">
        <w:rPr>
          <w:color w:val="auto"/>
          <w:sz w:val="21"/>
          <w:szCs w:val="21"/>
        </w:rPr>
        <w:t>mbështetje</w:t>
      </w:r>
      <w:proofErr w:type="spellEnd"/>
      <w:r w:rsidRPr="009B3192">
        <w:rPr>
          <w:color w:val="auto"/>
          <w:sz w:val="21"/>
          <w:szCs w:val="21"/>
        </w:rPr>
        <w:t xml:space="preserve">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nenit</w:t>
      </w:r>
      <w:proofErr w:type="spellEnd"/>
      <w:r w:rsidRPr="009B3192">
        <w:rPr>
          <w:color w:val="auto"/>
          <w:sz w:val="21"/>
          <w:szCs w:val="21"/>
        </w:rPr>
        <w:t xml:space="preserve"> 100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Kushtetutës</w:t>
      </w:r>
      <w:proofErr w:type="spellEnd"/>
      <w:r w:rsidRPr="009B3192">
        <w:rPr>
          <w:color w:val="auto"/>
          <w:sz w:val="21"/>
          <w:szCs w:val="21"/>
        </w:rPr>
        <w:t xml:space="preserve"> </w:t>
      </w:r>
      <w:proofErr w:type="spellStart"/>
      <w:r w:rsidRPr="009B3192">
        <w:rPr>
          <w:color w:val="auto"/>
          <w:sz w:val="21"/>
          <w:szCs w:val="21"/>
        </w:rPr>
        <w:t>dhe</w:t>
      </w:r>
      <w:proofErr w:type="spellEnd"/>
      <w:r w:rsidRPr="009B3192">
        <w:rPr>
          <w:color w:val="auto"/>
          <w:sz w:val="21"/>
          <w:szCs w:val="21"/>
        </w:rPr>
        <w:t xml:space="preserve">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nenit</w:t>
      </w:r>
      <w:proofErr w:type="spellEnd"/>
      <w:r w:rsidRPr="009B3192">
        <w:rPr>
          <w:color w:val="auto"/>
          <w:sz w:val="21"/>
          <w:szCs w:val="21"/>
        </w:rPr>
        <w:t xml:space="preserve"> 16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ligjit</w:t>
      </w:r>
      <w:proofErr w:type="spellEnd"/>
      <w:r w:rsidRPr="009B3192">
        <w:rPr>
          <w:color w:val="auto"/>
          <w:sz w:val="21"/>
          <w:szCs w:val="21"/>
        </w:rPr>
        <w:t xml:space="preserve"> nr.9936, </w:t>
      </w:r>
      <w:proofErr w:type="spellStart"/>
      <w:r w:rsidRPr="009B3192">
        <w:rPr>
          <w:color w:val="auto"/>
          <w:sz w:val="21"/>
          <w:szCs w:val="21"/>
        </w:rPr>
        <w:t>datë</w:t>
      </w:r>
      <w:proofErr w:type="spellEnd"/>
      <w:r w:rsidRPr="009B3192">
        <w:rPr>
          <w:color w:val="auto"/>
          <w:sz w:val="21"/>
          <w:szCs w:val="21"/>
        </w:rPr>
        <w:t xml:space="preserve"> 26.6.2008 “</w:t>
      </w:r>
      <w:proofErr w:type="spellStart"/>
      <w:r w:rsidRPr="009B3192">
        <w:rPr>
          <w:color w:val="auto"/>
          <w:sz w:val="21"/>
          <w:szCs w:val="21"/>
        </w:rPr>
        <w:t>Për</w:t>
      </w:r>
      <w:proofErr w:type="spellEnd"/>
      <w:r w:rsidRPr="009B3192">
        <w:rPr>
          <w:color w:val="auto"/>
          <w:sz w:val="21"/>
          <w:szCs w:val="21"/>
        </w:rPr>
        <w:t xml:space="preserve"> </w:t>
      </w:r>
      <w:proofErr w:type="spellStart"/>
      <w:r w:rsidRPr="009B3192">
        <w:rPr>
          <w:color w:val="auto"/>
          <w:sz w:val="21"/>
          <w:szCs w:val="21"/>
        </w:rPr>
        <w:t>menaxhimin</w:t>
      </w:r>
      <w:proofErr w:type="spellEnd"/>
      <w:r w:rsidRPr="009B3192">
        <w:rPr>
          <w:color w:val="auto"/>
          <w:sz w:val="21"/>
          <w:szCs w:val="21"/>
        </w:rPr>
        <w:t xml:space="preserve"> e </w:t>
      </w:r>
      <w:proofErr w:type="spellStart"/>
      <w:r w:rsidRPr="009B3192">
        <w:rPr>
          <w:color w:val="auto"/>
          <w:sz w:val="21"/>
          <w:szCs w:val="21"/>
        </w:rPr>
        <w:t>sistemit</w:t>
      </w:r>
      <w:proofErr w:type="spellEnd"/>
      <w:r w:rsidRPr="009B3192">
        <w:rPr>
          <w:color w:val="auto"/>
          <w:sz w:val="21"/>
          <w:szCs w:val="21"/>
        </w:rPr>
        <w:t xml:space="preserve"> </w:t>
      </w:r>
      <w:proofErr w:type="spellStart"/>
      <w:r w:rsidRPr="009B3192">
        <w:rPr>
          <w:color w:val="auto"/>
          <w:sz w:val="21"/>
          <w:szCs w:val="21"/>
        </w:rPr>
        <w:t>buxhetor</w:t>
      </w:r>
      <w:proofErr w:type="spellEnd"/>
      <w:r w:rsidRPr="009B3192">
        <w:rPr>
          <w:color w:val="auto"/>
          <w:sz w:val="21"/>
          <w:szCs w:val="21"/>
        </w:rPr>
        <w:t xml:space="preserve"> </w:t>
      </w:r>
      <w:proofErr w:type="spellStart"/>
      <w:r w:rsidRPr="009B3192">
        <w:rPr>
          <w:color w:val="auto"/>
          <w:sz w:val="21"/>
          <w:szCs w:val="21"/>
        </w:rPr>
        <w:t>në</w:t>
      </w:r>
      <w:proofErr w:type="spellEnd"/>
      <w:r w:rsidRPr="009B3192">
        <w:rPr>
          <w:color w:val="auto"/>
          <w:sz w:val="21"/>
          <w:szCs w:val="21"/>
        </w:rPr>
        <w:t xml:space="preserve"> </w:t>
      </w:r>
      <w:proofErr w:type="spellStart"/>
      <w:r w:rsidRPr="009B3192">
        <w:rPr>
          <w:color w:val="auto"/>
          <w:sz w:val="21"/>
          <w:szCs w:val="21"/>
        </w:rPr>
        <w:t>Republikën</w:t>
      </w:r>
      <w:proofErr w:type="spellEnd"/>
      <w:r w:rsidRPr="009B3192">
        <w:rPr>
          <w:color w:val="auto"/>
          <w:sz w:val="21"/>
          <w:szCs w:val="21"/>
        </w:rPr>
        <w:t xml:space="preserve"> e </w:t>
      </w:r>
      <w:proofErr w:type="spellStart"/>
      <w:r w:rsidRPr="009B3192">
        <w:rPr>
          <w:color w:val="auto"/>
          <w:sz w:val="21"/>
          <w:szCs w:val="21"/>
        </w:rPr>
        <w:t>Shqipërisë</w:t>
      </w:r>
      <w:proofErr w:type="spellEnd"/>
      <w:r w:rsidRPr="009B3192">
        <w:rPr>
          <w:color w:val="auto"/>
          <w:sz w:val="21"/>
          <w:szCs w:val="21"/>
        </w:rPr>
        <w:t xml:space="preserve">”, me </w:t>
      </w:r>
      <w:proofErr w:type="spellStart"/>
      <w:r w:rsidRPr="009B3192">
        <w:rPr>
          <w:color w:val="auto"/>
          <w:sz w:val="21"/>
          <w:szCs w:val="21"/>
        </w:rPr>
        <w:t>propozimin</w:t>
      </w:r>
      <w:proofErr w:type="spellEnd"/>
      <w:r w:rsidRPr="009B3192">
        <w:rPr>
          <w:color w:val="auto"/>
          <w:sz w:val="21"/>
          <w:szCs w:val="21"/>
        </w:rPr>
        <w:t xml:space="preserve"> e </w:t>
      </w:r>
      <w:proofErr w:type="spellStart"/>
      <w:r w:rsidRPr="009B3192">
        <w:rPr>
          <w:color w:val="auto"/>
          <w:sz w:val="21"/>
          <w:szCs w:val="21"/>
        </w:rPr>
        <w:t>Ministrit</w:t>
      </w:r>
      <w:proofErr w:type="spellEnd"/>
      <w:r w:rsidRPr="009B3192">
        <w:rPr>
          <w:color w:val="auto"/>
          <w:sz w:val="21"/>
          <w:szCs w:val="21"/>
        </w:rPr>
        <w:t xml:space="preserve">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Financave</w:t>
      </w:r>
      <w:proofErr w:type="spellEnd"/>
      <w:r w:rsidRPr="009B3192">
        <w:rPr>
          <w:color w:val="auto"/>
          <w:sz w:val="21"/>
          <w:szCs w:val="21"/>
        </w:rPr>
        <w:t xml:space="preserve">, </w:t>
      </w:r>
      <w:proofErr w:type="spellStart"/>
      <w:r w:rsidRPr="009B3192">
        <w:rPr>
          <w:color w:val="auto"/>
          <w:sz w:val="21"/>
          <w:szCs w:val="21"/>
        </w:rPr>
        <w:t>Këshilli</w:t>
      </w:r>
      <w:proofErr w:type="spellEnd"/>
      <w:r w:rsidRPr="009B3192">
        <w:rPr>
          <w:color w:val="auto"/>
          <w:sz w:val="21"/>
          <w:szCs w:val="21"/>
        </w:rPr>
        <w:t xml:space="preserve"> </w:t>
      </w:r>
      <w:proofErr w:type="spellStart"/>
      <w:r w:rsidRPr="009B3192">
        <w:rPr>
          <w:color w:val="auto"/>
          <w:sz w:val="21"/>
          <w:szCs w:val="21"/>
        </w:rPr>
        <w:t>i</w:t>
      </w:r>
      <w:proofErr w:type="spellEnd"/>
      <w:r w:rsidRPr="009B3192">
        <w:rPr>
          <w:color w:val="auto"/>
          <w:sz w:val="21"/>
          <w:szCs w:val="21"/>
        </w:rPr>
        <w:t xml:space="preserve"> </w:t>
      </w:r>
      <w:proofErr w:type="spellStart"/>
      <w:r w:rsidRPr="009B3192">
        <w:rPr>
          <w:color w:val="auto"/>
          <w:sz w:val="21"/>
          <w:szCs w:val="21"/>
        </w:rPr>
        <w:t>Ministrave</w:t>
      </w:r>
      <w:proofErr w:type="spellEnd"/>
    </w:p>
    <w:p w:rsidR="00A2344A" w:rsidRPr="009B3192" w:rsidRDefault="00A2344A" w:rsidP="00A2344A">
      <w:pPr>
        <w:pStyle w:val="Paragrafi"/>
        <w:rPr>
          <w:sz w:val="12"/>
          <w:szCs w:val="21"/>
        </w:rPr>
      </w:pPr>
    </w:p>
    <w:p w:rsidR="00A2344A" w:rsidRPr="009B3192" w:rsidRDefault="00A2344A" w:rsidP="00A2344A">
      <w:pPr>
        <w:pStyle w:val="VENDOSI"/>
        <w:rPr>
          <w:sz w:val="21"/>
          <w:szCs w:val="21"/>
        </w:rPr>
      </w:pPr>
      <w:r w:rsidRPr="009B3192">
        <w:rPr>
          <w:sz w:val="21"/>
          <w:szCs w:val="21"/>
        </w:rPr>
        <w:t>VENDOSI:</w:t>
      </w:r>
    </w:p>
    <w:p w:rsidR="00A2344A" w:rsidRPr="009B3192" w:rsidRDefault="00A2344A" w:rsidP="00A2344A">
      <w:pPr>
        <w:pStyle w:val="Paragrafi"/>
        <w:rPr>
          <w:sz w:val="14"/>
          <w:szCs w:val="21"/>
        </w:rPr>
      </w:pPr>
    </w:p>
    <w:p w:rsidR="00C14185" w:rsidRDefault="00C14185" w:rsidP="00A2344A">
      <w:pPr>
        <w:pStyle w:val="Paragrafi"/>
        <w:rPr>
          <w:rFonts w:eastAsia="MS Mincho" w:cs="CG Times"/>
          <w:i/>
          <w:spacing w:val="-4"/>
          <w:szCs w:val="22"/>
          <w:lang w:val="sq-AL"/>
        </w:rPr>
      </w:pPr>
      <w:r w:rsidRPr="00C14185">
        <w:rPr>
          <w:rFonts w:eastAsia="MS Mincho" w:cs="CG Times"/>
          <w:i/>
          <w:spacing w:val="-4"/>
          <w:szCs w:val="22"/>
          <w:lang w:val="sq-AL"/>
        </w:rPr>
        <w:t>I. Punonjësit e njësive të qeverisjes së përgjithshme, të cilët shkojnë me shërbim jashtë qendrës së punës, brenda vendit, trajtohen financiarisht për përballimin e shpenzimeve të shërbimit.</w:t>
      </w:r>
    </w:p>
    <w:p w:rsidR="00A2344A" w:rsidRPr="009B3192" w:rsidRDefault="00A2344A" w:rsidP="00A2344A">
      <w:pPr>
        <w:pStyle w:val="Paragrafi"/>
        <w:rPr>
          <w:sz w:val="21"/>
          <w:szCs w:val="21"/>
        </w:rPr>
      </w:pPr>
      <w:bookmarkStart w:id="0" w:name="_GoBack"/>
      <w:bookmarkEnd w:id="0"/>
      <w:r w:rsidRPr="009B3192">
        <w:rPr>
          <w:sz w:val="21"/>
          <w:szCs w:val="21"/>
        </w:rPr>
        <w:t xml:space="preserve">II. </w:t>
      </w:r>
      <w:proofErr w:type="spellStart"/>
      <w:r w:rsidRPr="009B3192">
        <w:rPr>
          <w:sz w:val="21"/>
          <w:szCs w:val="21"/>
        </w:rPr>
        <w:t>Në</w:t>
      </w:r>
      <w:proofErr w:type="spellEnd"/>
      <w:r w:rsidRPr="009B3192">
        <w:rPr>
          <w:sz w:val="21"/>
          <w:szCs w:val="21"/>
        </w:rPr>
        <w:t xml:space="preserve">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qeverisjes</w:t>
      </w:r>
      <w:proofErr w:type="spellEnd"/>
      <w:r w:rsidRPr="009B3192">
        <w:rPr>
          <w:sz w:val="21"/>
          <w:szCs w:val="21"/>
        </w:rPr>
        <w:t xml:space="preserve"> </w:t>
      </w:r>
      <w:proofErr w:type="spellStart"/>
      <w:r w:rsidRPr="009B3192">
        <w:rPr>
          <w:sz w:val="21"/>
          <w:szCs w:val="21"/>
        </w:rPr>
        <w:t>së</w:t>
      </w:r>
      <w:proofErr w:type="spellEnd"/>
      <w:r w:rsidRPr="009B3192">
        <w:rPr>
          <w:sz w:val="21"/>
          <w:szCs w:val="21"/>
        </w:rPr>
        <w:t xml:space="preserve"> </w:t>
      </w:r>
      <w:proofErr w:type="spellStart"/>
      <w:r w:rsidRPr="009B3192">
        <w:rPr>
          <w:sz w:val="21"/>
          <w:szCs w:val="21"/>
        </w:rPr>
        <w:t>përgjithshme</w:t>
      </w:r>
      <w:proofErr w:type="spellEnd"/>
      <w:r w:rsidRPr="009B3192">
        <w:rPr>
          <w:sz w:val="21"/>
          <w:szCs w:val="21"/>
        </w:rPr>
        <w:t xml:space="preserve">, </w:t>
      </w:r>
      <w:proofErr w:type="spellStart"/>
      <w:r w:rsidRPr="009B3192">
        <w:rPr>
          <w:sz w:val="21"/>
          <w:szCs w:val="21"/>
        </w:rPr>
        <w:t>në</w:t>
      </w:r>
      <w:proofErr w:type="spellEnd"/>
      <w:r w:rsidRPr="009B3192">
        <w:rPr>
          <w:sz w:val="21"/>
          <w:szCs w:val="21"/>
        </w:rPr>
        <w:t xml:space="preserve"> </w:t>
      </w:r>
      <w:proofErr w:type="spellStart"/>
      <w:r w:rsidRPr="009B3192">
        <w:rPr>
          <w:sz w:val="21"/>
          <w:szCs w:val="21"/>
        </w:rPr>
        <w:t>kuptim</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këtij</w:t>
      </w:r>
      <w:proofErr w:type="spellEnd"/>
      <w:r w:rsidRPr="009B3192">
        <w:rPr>
          <w:sz w:val="21"/>
          <w:szCs w:val="21"/>
        </w:rPr>
        <w:t xml:space="preserve"> </w:t>
      </w:r>
      <w:proofErr w:type="spellStart"/>
      <w:r w:rsidRPr="009B3192">
        <w:rPr>
          <w:sz w:val="21"/>
          <w:szCs w:val="21"/>
        </w:rPr>
        <w:t>vendimi</w:t>
      </w:r>
      <w:proofErr w:type="spellEnd"/>
      <w:r w:rsidRPr="009B3192">
        <w:rPr>
          <w:sz w:val="21"/>
          <w:szCs w:val="21"/>
        </w:rPr>
        <w:t xml:space="preserve">, </w:t>
      </w:r>
      <w:proofErr w:type="spellStart"/>
      <w:r w:rsidRPr="009B3192">
        <w:rPr>
          <w:sz w:val="21"/>
          <w:szCs w:val="21"/>
        </w:rPr>
        <w:t>përfshihen</w:t>
      </w:r>
      <w:proofErr w:type="spellEnd"/>
      <w:r w:rsidRPr="009B3192">
        <w:rPr>
          <w:sz w:val="21"/>
          <w:szCs w:val="21"/>
        </w:rPr>
        <w:t>:</w:t>
      </w:r>
    </w:p>
    <w:p w:rsidR="00A2344A" w:rsidRPr="009B3192" w:rsidRDefault="00A2344A" w:rsidP="00A2344A">
      <w:pPr>
        <w:pStyle w:val="Paragrafi"/>
        <w:rPr>
          <w:sz w:val="21"/>
          <w:szCs w:val="21"/>
        </w:rPr>
      </w:pPr>
      <w:r w:rsidRPr="009B3192">
        <w:rPr>
          <w:sz w:val="21"/>
          <w:szCs w:val="21"/>
        </w:rPr>
        <w:t>1. </w:t>
      </w:r>
      <w:proofErr w:type="spellStart"/>
      <w:proofErr w:type="gramStart"/>
      <w:r w:rsidRPr="009B3192">
        <w:rPr>
          <w:sz w:val="21"/>
          <w:szCs w:val="21"/>
        </w:rPr>
        <w:t>njësitë</w:t>
      </w:r>
      <w:proofErr w:type="spellEnd"/>
      <w:proofErr w:type="gramEnd"/>
      <w:r w:rsidRPr="009B3192">
        <w:rPr>
          <w:sz w:val="21"/>
          <w:szCs w:val="21"/>
        </w:rPr>
        <w:t xml:space="preserve"> e </w:t>
      </w:r>
      <w:proofErr w:type="spellStart"/>
      <w:r w:rsidRPr="009B3192">
        <w:rPr>
          <w:sz w:val="21"/>
          <w:szCs w:val="21"/>
        </w:rPr>
        <w:t>qeverisjes</w:t>
      </w:r>
      <w:proofErr w:type="spellEnd"/>
      <w:r w:rsidRPr="009B3192">
        <w:rPr>
          <w:sz w:val="21"/>
          <w:szCs w:val="21"/>
        </w:rPr>
        <w:t xml:space="preserve"> </w:t>
      </w:r>
      <w:proofErr w:type="spellStart"/>
      <w:r w:rsidRPr="009B3192">
        <w:rPr>
          <w:sz w:val="21"/>
          <w:szCs w:val="21"/>
        </w:rPr>
        <w:t>qendrore</w:t>
      </w:r>
      <w:proofErr w:type="spellEnd"/>
      <w:r w:rsidRPr="009B3192">
        <w:rPr>
          <w:sz w:val="21"/>
          <w:szCs w:val="21"/>
        </w:rPr>
        <w:t xml:space="preserve">, </w:t>
      </w:r>
      <w:proofErr w:type="spellStart"/>
      <w:r w:rsidRPr="009B3192">
        <w:rPr>
          <w:sz w:val="21"/>
          <w:szCs w:val="21"/>
        </w:rPr>
        <w:t>që</w:t>
      </w:r>
      <w:proofErr w:type="spellEnd"/>
      <w:r w:rsidRPr="009B3192">
        <w:rPr>
          <w:sz w:val="21"/>
          <w:szCs w:val="21"/>
        </w:rPr>
        <w:t xml:space="preserve"> </w:t>
      </w:r>
      <w:proofErr w:type="spellStart"/>
      <w:r w:rsidRPr="009B3192">
        <w:rPr>
          <w:sz w:val="21"/>
          <w:szCs w:val="21"/>
        </w:rPr>
        <w:t>janë</w:t>
      </w:r>
      <w:proofErr w:type="spellEnd"/>
      <w:r w:rsidRPr="009B3192">
        <w:rPr>
          <w:sz w:val="21"/>
          <w:szCs w:val="21"/>
        </w:rPr>
        <w:t xml:space="preserve">: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pushtetit</w:t>
      </w:r>
      <w:proofErr w:type="spellEnd"/>
      <w:r w:rsidRPr="009B3192">
        <w:rPr>
          <w:sz w:val="21"/>
          <w:szCs w:val="21"/>
        </w:rPr>
        <w:t xml:space="preserve"> </w:t>
      </w:r>
      <w:proofErr w:type="spellStart"/>
      <w:r w:rsidRPr="009B3192">
        <w:rPr>
          <w:sz w:val="21"/>
          <w:szCs w:val="21"/>
        </w:rPr>
        <w:t>ekzekutiv</w:t>
      </w:r>
      <w:proofErr w:type="spellEnd"/>
      <w:r w:rsidRPr="009B3192">
        <w:rPr>
          <w:sz w:val="21"/>
          <w:szCs w:val="21"/>
        </w:rPr>
        <w:t xml:space="preserve">, </w:t>
      </w:r>
      <w:proofErr w:type="spellStart"/>
      <w:r w:rsidRPr="009B3192">
        <w:rPr>
          <w:sz w:val="21"/>
          <w:szCs w:val="21"/>
        </w:rPr>
        <w:t>legjislativ</w:t>
      </w:r>
      <w:proofErr w:type="spellEnd"/>
      <w:r w:rsidRPr="009B3192">
        <w:rPr>
          <w:sz w:val="21"/>
          <w:szCs w:val="21"/>
        </w:rPr>
        <w:t xml:space="preserve">, </w:t>
      </w:r>
      <w:proofErr w:type="spellStart"/>
      <w:r w:rsidRPr="009B3192">
        <w:rPr>
          <w:sz w:val="21"/>
          <w:szCs w:val="21"/>
        </w:rPr>
        <w:t>gjyqësor</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krijuara</w:t>
      </w:r>
      <w:proofErr w:type="spellEnd"/>
      <w:r w:rsidRPr="009B3192">
        <w:rPr>
          <w:sz w:val="21"/>
          <w:szCs w:val="21"/>
        </w:rPr>
        <w:t xml:space="preserve"> me </w:t>
      </w:r>
      <w:proofErr w:type="spellStart"/>
      <w:r w:rsidRPr="009B3192">
        <w:rPr>
          <w:sz w:val="21"/>
          <w:szCs w:val="21"/>
        </w:rPr>
        <w:t>Kushtetutë</w:t>
      </w:r>
      <w:proofErr w:type="spellEnd"/>
      <w:r w:rsidRPr="009B3192">
        <w:rPr>
          <w:sz w:val="21"/>
          <w:szCs w:val="21"/>
        </w:rPr>
        <w:t xml:space="preserve">, me </w:t>
      </w:r>
      <w:proofErr w:type="spellStart"/>
      <w:r w:rsidRPr="009B3192">
        <w:rPr>
          <w:sz w:val="21"/>
          <w:szCs w:val="21"/>
        </w:rPr>
        <w:t>ligj</w:t>
      </w:r>
      <w:proofErr w:type="spellEnd"/>
      <w:r w:rsidRPr="009B3192">
        <w:rPr>
          <w:sz w:val="21"/>
          <w:szCs w:val="21"/>
        </w:rPr>
        <w:t xml:space="preserve"> </w:t>
      </w:r>
      <w:proofErr w:type="spellStart"/>
      <w:r w:rsidRPr="009B3192">
        <w:rPr>
          <w:sz w:val="21"/>
          <w:szCs w:val="21"/>
        </w:rPr>
        <w:t>ose</w:t>
      </w:r>
      <w:proofErr w:type="spellEnd"/>
      <w:r w:rsidRPr="009B3192">
        <w:rPr>
          <w:sz w:val="21"/>
          <w:szCs w:val="21"/>
        </w:rPr>
        <w:t xml:space="preserve"> me </w:t>
      </w:r>
      <w:proofErr w:type="spellStart"/>
      <w:r w:rsidRPr="009B3192">
        <w:rPr>
          <w:sz w:val="21"/>
          <w:szCs w:val="21"/>
        </w:rPr>
        <w:t>vendim</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Këshillit</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Ministrave</w:t>
      </w:r>
      <w:proofErr w:type="spellEnd"/>
      <w:r w:rsidRPr="009B3192">
        <w:rPr>
          <w:sz w:val="21"/>
          <w:szCs w:val="21"/>
        </w:rPr>
        <w:t>;</w:t>
      </w:r>
    </w:p>
    <w:p w:rsidR="00A2344A" w:rsidRPr="009B3192" w:rsidRDefault="00A2344A" w:rsidP="00A2344A">
      <w:pPr>
        <w:pStyle w:val="Paragrafi"/>
        <w:rPr>
          <w:sz w:val="21"/>
          <w:szCs w:val="21"/>
        </w:rPr>
      </w:pPr>
      <w:r w:rsidRPr="009B3192">
        <w:rPr>
          <w:sz w:val="21"/>
          <w:szCs w:val="21"/>
        </w:rPr>
        <w:t>2. 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qeverisjes</w:t>
      </w:r>
      <w:proofErr w:type="spellEnd"/>
      <w:r w:rsidRPr="009B3192">
        <w:rPr>
          <w:sz w:val="21"/>
          <w:szCs w:val="21"/>
        </w:rPr>
        <w:t xml:space="preserve"> </w:t>
      </w:r>
      <w:proofErr w:type="spellStart"/>
      <w:r w:rsidRPr="009B3192">
        <w:rPr>
          <w:sz w:val="21"/>
          <w:szCs w:val="21"/>
        </w:rPr>
        <w:t>vendore</w:t>
      </w:r>
      <w:proofErr w:type="spellEnd"/>
      <w:r w:rsidRPr="009B3192">
        <w:rPr>
          <w:sz w:val="21"/>
          <w:szCs w:val="21"/>
        </w:rPr>
        <w:t xml:space="preserve">, </w:t>
      </w:r>
      <w:proofErr w:type="spellStart"/>
      <w:r w:rsidRPr="009B3192">
        <w:rPr>
          <w:sz w:val="21"/>
          <w:szCs w:val="21"/>
        </w:rPr>
        <w:t>që</w:t>
      </w:r>
      <w:proofErr w:type="spellEnd"/>
      <w:r w:rsidRPr="009B3192">
        <w:rPr>
          <w:sz w:val="21"/>
          <w:szCs w:val="21"/>
        </w:rPr>
        <w:t xml:space="preserve"> </w:t>
      </w:r>
      <w:proofErr w:type="spellStart"/>
      <w:r w:rsidRPr="009B3192">
        <w:rPr>
          <w:sz w:val="21"/>
          <w:szCs w:val="21"/>
        </w:rPr>
        <w:t>janë</w:t>
      </w:r>
      <w:proofErr w:type="spellEnd"/>
      <w:r w:rsidRPr="009B3192">
        <w:rPr>
          <w:sz w:val="21"/>
          <w:szCs w:val="21"/>
        </w:rPr>
        <w:t xml:space="preserve">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niveleve</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ndryshme</w:t>
      </w:r>
      <w:proofErr w:type="spellEnd"/>
      <w:r w:rsidRPr="009B3192">
        <w:rPr>
          <w:sz w:val="21"/>
          <w:szCs w:val="21"/>
        </w:rPr>
        <w:t xml:space="preserve"> </w:t>
      </w:r>
      <w:proofErr w:type="spellStart"/>
      <w:r w:rsidRPr="009B3192">
        <w:rPr>
          <w:sz w:val="21"/>
          <w:szCs w:val="21"/>
        </w:rPr>
        <w:t>vendore</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krijuara</w:t>
      </w:r>
      <w:proofErr w:type="spellEnd"/>
      <w:r w:rsidRPr="009B3192">
        <w:rPr>
          <w:sz w:val="21"/>
          <w:szCs w:val="21"/>
        </w:rPr>
        <w:t xml:space="preserve"> me </w:t>
      </w:r>
      <w:proofErr w:type="spellStart"/>
      <w:r w:rsidRPr="009B3192">
        <w:rPr>
          <w:sz w:val="21"/>
          <w:szCs w:val="21"/>
        </w:rPr>
        <w:t>ligj</w:t>
      </w:r>
      <w:proofErr w:type="spellEnd"/>
      <w:r w:rsidRPr="009B3192">
        <w:rPr>
          <w:sz w:val="21"/>
          <w:szCs w:val="21"/>
        </w:rPr>
        <w:t>;</w:t>
      </w:r>
    </w:p>
    <w:p w:rsidR="00A2344A" w:rsidRPr="009B3192" w:rsidRDefault="00A2344A" w:rsidP="00A2344A">
      <w:pPr>
        <w:pStyle w:val="Paragrafi"/>
        <w:rPr>
          <w:sz w:val="21"/>
          <w:szCs w:val="21"/>
          <w:lang w:val="it-IT"/>
        </w:rPr>
      </w:pPr>
      <w:r w:rsidRPr="009B3192">
        <w:rPr>
          <w:sz w:val="21"/>
          <w:szCs w:val="21"/>
          <w:lang w:val="it-IT"/>
        </w:rPr>
        <w:t>3. njësitë e fondeve speciale, që janë njësitë e krijuara me ligje specifike.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III. Trajtimi financiar i punonjësve për përballimin e shpenzimeve të shërbimit bëhet i diferencuar, sipas distancës së shërbimit nga qendra e punës, si më poshtë vijon: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1. Për shërbime në një largësi deri në 50 km jashtë qendrës së punës, trajtimi financiar i punonjësit përfshin vetëm shpenzimet e transportit, në rastin kur transporti nuk realizohet nga vetë institucioni.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 Përjashtohen nga ky rregull: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a) punonjësit e Policisë së Shtetit, të Gardës së Republikës së Shqipërisë, të Shërbimit për Çështjet e Brendshme dhe Ankesat (SHÇBA) dhe të Shërbimit Informativ të Shtetit dhe të Agjencisë së Inteligjencës dhe Sigurisë së Mbrojtjes, kur marrin pjesë në shërbime operacionale;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b) punonjësit e Qendrës së Shërbimit Mjekësor (klinika qeveritare), kur shoqërojnë personalitete të larta të vendit;</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c) anëtarët e Kolegjit Zgjedhor, kur ushtrojnë veprimtarinë pranë këtij kolegji, gjatë periudhës së zgjedhjeve parlamentare apo vendore;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ç) </w:t>
      </w:r>
      <w:r w:rsidRPr="009B3192">
        <w:rPr>
          <w:rFonts w:ascii="CG Times" w:eastAsia="MS Mincho" w:hAnsi="CG Times" w:cs="CG Times"/>
          <w:i/>
          <w:noProof w:val="0"/>
          <w:spacing w:val="-4"/>
          <w:sz w:val="22"/>
          <w:szCs w:val="22"/>
        </w:rPr>
        <w:tab/>
        <w:t>personeli ushtarak i Forcave të Armatosura të Republikës së Shqipërisë, i cili angazhohet në procesin e eliminimit të kimikateve stoqe në strukturat e këtyre forcave, si dhe kur merr pjesë në shërbime operacionale specifike.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Këta punonjës trajtohen sipas përcaktimeve të pikës 3, të këtij vendimi.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2. Për shërbime në një largësi mbi 50 km jashtë qendrës së punës, kur punonjësi kthehet brenda ditës, trajtimi financiar i tij përfshin dietën ditore, në masën 500 (pesëqind) lekë në ditë, si dhe shpenzimet e transportit, në rastin kur transporti nuk realizohet nga vetë institucioni. Përjashtohen nga ky rregull punonjësit që dërgohen për shërbime në një largësi mbi 50 km, jashtë qendrës së punës, dhe që zgjatin mbi tri ditë pune, në bazë të programit të miratuar nga titullari apo zyrtari përgjegjës që autorizon shërbimin, sipas legjislacionit të posaçëm në fuqi.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Këta punonjës trajtohen sipas përcaktimeve të pikës 3, të këtij vendimi.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3. Për shërbime në një largësi mbi 100 km, jashtë qendrës së punës, trajtimi financiar i punonjësit përfshin: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a) dietën ditore, e cila për çdo punonjës të dërguar me shërbim, llogaritet në masën, si më poshtë </w:t>
      </w:r>
      <w:r w:rsidRPr="009B3192">
        <w:rPr>
          <w:rFonts w:ascii="CG Times" w:eastAsia="MS Mincho" w:hAnsi="CG Times" w:cs="CG Times"/>
          <w:i/>
          <w:noProof w:val="0"/>
          <w:spacing w:val="-4"/>
          <w:sz w:val="22"/>
          <w:szCs w:val="22"/>
        </w:rPr>
        <w:lastRenderedPageBreak/>
        <w:t xml:space="preserve">vijon: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 1 000 (një mijë) lekë në ditë, kur punonjësi kthehet brenda ditës;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ii) 10 për qind të pagës mujore, por jo më shumë se 2 500 (dy mijë e pesëqind) lekë në ditë, kur shërbimi zgjat më shumë se një ditë.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Për efekt të llogaritjes së dietës, në këtë rast, data e nisjes dhe ajo e kthimit llogariten një ditë e plotë.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b) shpenzimet e fjetjes, kundrejt dokumentit tatimor përkatës, të paraqitur nga hoteli dhe të shoqëruar me faturën e printuar nga kasa elektronike fiskale, por jo më shumë se 3 000 (tre mijë) lekë për çdo natë;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c) shpenzimet e transportit, në rastin kur transporti nuk realizohet nga vetë institucioni.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4. Në çdo rast, kur transporti nuk realizohet nga vetë institucioni, shpenzimet e transportit do të njihen kundrejt dokumentit tatimor përkatës, por jo më shumë se tarifa përkatëse, sipas distancës kilometrike të linjës, e miratuar në vendimin nr. 146, datë 26.2.1998, të Këshillit të Ministrave, “Për tarifat e transportit </w:t>
      </w:r>
      <w:r w:rsidR="000D0D56" w:rsidRPr="009B3192">
        <w:rPr>
          <w:rFonts w:ascii="CG Times" w:eastAsia="MS Mincho" w:hAnsi="CG Times" w:cs="CG Times"/>
          <w:i/>
          <w:noProof w:val="0"/>
          <w:spacing w:val="-4"/>
          <w:sz w:val="22"/>
          <w:szCs w:val="22"/>
        </w:rPr>
        <w:t>të udhëtarëve”, të ndryshuar.</w:t>
      </w:r>
    </w:p>
    <w:p w:rsidR="00A2344A" w:rsidRPr="009B3192" w:rsidRDefault="00A2344A" w:rsidP="00A2344A">
      <w:pPr>
        <w:pStyle w:val="Paragrafi"/>
        <w:rPr>
          <w:sz w:val="21"/>
          <w:szCs w:val="21"/>
          <w:lang w:val="it-IT"/>
        </w:rPr>
      </w:pPr>
      <w:r w:rsidRPr="009B3192">
        <w:rPr>
          <w:sz w:val="21"/>
          <w:szCs w:val="21"/>
          <w:lang w:val="it-IT"/>
        </w:rPr>
        <w:t>IV. Dokument tatimor, për efekt të këtij vendimi, do të konsiderohet çdo biletë transporti e miratuar nga Ministria e Financave, Drejtoria e Përgjithshme e Tatimeve, si dhe çdo faturë e thjeshtë apo me TVSH, e cila detyrimisht duhet të shoqërohet me faturë të printuar nga kasa elektronike fiskale.</w:t>
      </w:r>
    </w:p>
    <w:p w:rsidR="00A2344A" w:rsidRPr="009B3192" w:rsidRDefault="00A2344A" w:rsidP="00A2344A">
      <w:pPr>
        <w:pStyle w:val="Paragrafi"/>
        <w:rPr>
          <w:sz w:val="21"/>
          <w:szCs w:val="21"/>
          <w:lang w:val="it-IT"/>
        </w:rPr>
      </w:pPr>
      <w:r w:rsidRPr="009B3192">
        <w:rPr>
          <w:sz w:val="21"/>
          <w:szCs w:val="21"/>
          <w:lang w:val="it-IT"/>
        </w:rPr>
        <w:t>V. Dërgimi me shërbim i punonjësit autorizohet nga:</w:t>
      </w:r>
    </w:p>
    <w:p w:rsidR="00A2344A" w:rsidRPr="009B3192" w:rsidRDefault="00A2344A" w:rsidP="00A2344A">
      <w:pPr>
        <w:pStyle w:val="Paragrafi"/>
        <w:rPr>
          <w:sz w:val="21"/>
          <w:szCs w:val="21"/>
          <w:lang w:val="it-IT"/>
        </w:rPr>
      </w:pPr>
      <w:r w:rsidRPr="009B3192">
        <w:rPr>
          <w:sz w:val="21"/>
          <w:szCs w:val="21"/>
          <w:lang w:val="it-IT"/>
        </w:rPr>
        <w:t>1. Titullari i njësisë shpenzuese për shërbimet me largësi deri në 100 km jashtë qendrës së punës.</w:t>
      </w:r>
    </w:p>
    <w:p w:rsidR="00A2344A" w:rsidRPr="009B3192" w:rsidRDefault="00A2344A" w:rsidP="00A2344A">
      <w:pPr>
        <w:pStyle w:val="Paragrafi"/>
        <w:rPr>
          <w:sz w:val="21"/>
          <w:szCs w:val="21"/>
          <w:lang w:val="it-IT"/>
        </w:rPr>
      </w:pPr>
      <w:r w:rsidRPr="009B3192">
        <w:rPr>
          <w:sz w:val="21"/>
          <w:szCs w:val="21"/>
          <w:lang w:val="it-IT"/>
        </w:rPr>
        <w:t>2. Titullari i institucionit qendror për shërbime në një largësi mbi 100 km jashtë qendrës së punës. Në autorizim përcaktohen koha e zgjatjes së shërbimit dhe qëllimi i tij. Titullarë institucioni qendror, në kuptim të këtij vendimi, janë:</w:t>
      </w:r>
    </w:p>
    <w:p w:rsidR="00A2344A" w:rsidRPr="009B3192" w:rsidRDefault="00A2344A" w:rsidP="00A2344A">
      <w:pPr>
        <w:pStyle w:val="Paragrafi"/>
        <w:rPr>
          <w:sz w:val="21"/>
          <w:szCs w:val="21"/>
          <w:lang w:val="it-IT"/>
        </w:rPr>
      </w:pPr>
      <w:r w:rsidRPr="009B3192">
        <w:rPr>
          <w:sz w:val="21"/>
          <w:szCs w:val="21"/>
          <w:lang w:val="it-IT"/>
        </w:rPr>
        <w:t>a) Për njësitë e qeverisjes qendrore:</w:t>
      </w:r>
    </w:p>
    <w:p w:rsidR="00A2344A" w:rsidRPr="009B3192" w:rsidRDefault="00A2344A" w:rsidP="00A2344A">
      <w:pPr>
        <w:pStyle w:val="Paragrafi"/>
        <w:rPr>
          <w:sz w:val="21"/>
          <w:szCs w:val="21"/>
          <w:lang w:val="it-IT"/>
        </w:rPr>
      </w:pPr>
      <w:r w:rsidRPr="009B3192">
        <w:rPr>
          <w:sz w:val="21"/>
          <w:szCs w:val="21"/>
          <w:lang w:val="it-IT"/>
        </w:rPr>
        <w:t>i) për ministrinë dhe çdo institucion në varësi të saj, ministri ose i deleguari i tij;</w:t>
      </w:r>
    </w:p>
    <w:p w:rsidR="00A2344A" w:rsidRPr="009B3192" w:rsidRDefault="00A2344A" w:rsidP="00A2344A">
      <w:pPr>
        <w:pStyle w:val="Paragrafi"/>
        <w:rPr>
          <w:sz w:val="21"/>
          <w:szCs w:val="21"/>
          <w:lang w:val="it-IT"/>
        </w:rPr>
      </w:pPr>
      <w:r w:rsidRPr="009B3192">
        <w:rPr>
          <w:sz w:val="21"/>
          <w:szCs w:val="21"/>
          <w:lang w:val="it-IT"/>
        </w:rPr>
        <w:t>ii) për aparatet e Presidencës, të Kuvendit, të Këshillit të Ministrave, të enteve kushtetuese, si dhe për institucionet në varësi të Kryeministrit, sekretari i përgjithshëm përkatës; </w:t>
      </w:r>
    </w:p>
    <w:p w:rsidR="00A2344A" w:rsidRPr="009B3192" w:rsidRDefault="00A2344A" w:rsidP="00A2344A">
      <w:pPr>
        <w:pStyle w:val="Paragrafi"/>
        <w:rPr>
          <w:sz w:val="21"/>
          <w:szCs w:val="21"/>
          <w:lang w:val="it-IT"/>
        </w:rPr>
      </w:pPr>
      <w:r w:rsidRPr="009B3192">
        <w:rPr>
          <w:sz w:val="21"/>
          <w:szCs w:val="21"/>
          <w:lang w:val="it-IT"/>
        </w:rPr>
        <w:t>iii) për punonjësit e gjykatës, kryetari i gjykatës.</w:t>
      </w:r>
    </w:p>
    <w:p w:rsidR="00A2344A" w:rsidRPr="009B3192" w:rsidRDefault="00A2344A" w:rsidP="00A2344A">
      <w:pPr>
        <w:pStyle w:val="Paragrafi"/>
        <w:rPr>
          <w:sz w:val="21"/>
          <w:szCs w:val="21"/>
          <w:lang w:val="it-IT"/>
        </w:rPr>
      </w:pPr>
      <w:r w:rsidRPr="009B3192">
        <w:rPr>
          <w:sz w:val="21"/>
          <w:szCs w:val="21"/>
          <w:lang w:val="it-IT"/>
        </w:rPr>
        <w:t>b) Për njësitë e qeverisjes vendore, kryetari njësisë vendore.</w:t>
      </w:r>
    </w:p>
    <w:p w:rsidR="00A2344A" w:rsidRPr="009B3192" w:rsidRDefault="00A2344A" w:rsidP="00A2344A">
      <w:pPr>
        <w:pStyle w:val="Paragrafi"/>
        <w:rPr>
          <w:sz w:val="21"/>
          <w:szCs w:val="21"/>
          <w:lang w:val="it-IT"/>
        </w:rPr>
      </w:pPr>
      <w:r w:rsidRPr="009B3192">
        <w:rPr>
          <w:sz w:val="21"/>
          <w:szCs w:val="21"/>
          <w:lang w:val="it-IT"/>
        </w:rPr>
        <w:t>c) Për fondet speciale, titullari i fondit special.</w:t>
      </w:r>
    </w:p>
    <w:p w:rsidR="00A2344A" w:rsidRPr="009B3192" w:rsidRDefault="00A2344A" w:rsidP="00A2344A">
      <w:pPr>
        <w:pStyle w:val="Paragrafi"/>
        <w:rPr>
          <w:sz w:val="21"/>
          <w:szCs w:val="21"/>
          <w:lang w:val="it-IT"/>
        </w:rPr>
      </w:pPr>
      <w:r w:rsidRPr="009B3192">
        <w:rPr>
          <w:sz w:val="21"/>
          <w:szCs w:val="21"/>
          <w:lang w:val="it-IT"/>
        </w:rPr>
        <w:t>VI. Prefektët e qarqeve që kryejnë funksione larg vendbanimeve të tyre, kur nuk u janë siguruar kushtet për fjetje pranë vendit të punës, përfitojnë dietë dhe u paguhen shpenzimet e ditës sipas pikës III-3 të këtij vendimi për një periudhë jo më shumë se një muaj. Pas një muaji nga data e emërimit të tij, shpenzimet e fjetjes, por jo më shumë se 25 000 (njëzet e pesë mijë) lekë në muaj përballohen nga vetë institucioni urdhërues, deri në momentin e sigurimit të një banese.</w:t>
      </w:r>
    </w:p>
    <w:p w:rsidR="00A2344A" w:rsidRPr="009B3192" w:rsidRDefault="00A2344A" w:rsidP="00A2344A">
      <w:pPr>
        <w:pStyle w:val="Paragrafi"/>
        <w:rPr>
          <w:sz w:val="21"/>
          <w:szCs w:val="21"/>
          <w:lang w:val="it-IT"/>
        </w:rPr>
      </w:pPr>
      <w:r w:rsidRPr="009B3192">
        <w:rPr>
          <w:sz w:val="21"/>
          <w:szCs w:val="21"/>
          <w:lang w:val="it-IT"/>
        </w:rPr>
        <w:t>VII. Studentët dhe nxënësit, si dhe trupa shoqëruese pedagogjike, që kryejnë praktika mësimore, ekspozita apo veprimtari jashtë qendrës së institucionit arsimor publik, nuk përfitojnë dietë. Shpenzimet e udhëtimit dhe të fjetjes së tyre përballohen nga institucionet përkatëse të arsimit, sipas dokumenteve përkatëse tatimore, të përcaktuara në pikën IV të këtij vendimi.</w:t>
      </w:r>
    </w:p>
    <w:p w:rsidR="00A2344A" w:rsidRPr="009B3192" w:rsidRDefault="00A2344A" w:rsidP="00A2344A">
      <w:pPr>
        <w:pStyle w:val="Paragrafi"/>
        <w:rPr>
          <w:sz w:val="21"/>
          <w:szCs w:val="21"/>
          <w:lang w:val="it-IT"/>
        </w:rPr>
      </w:pPr>
      <w:r w:rsidRPr="009B3192">
        <w:rPr>
          <w:sz w:val="21"/>
          <w:szCs w:val="21"/>
          <w:lang w:val="it-IT"/>
        </w:rPr>
        <w:t>VIII. Vendimi nr.228, datë 13.4.2001 i Këshillit të Ministrave “Për dietat e nëpunësve që dërgohen me shërbim jashtë vendbanimit të tyre”, të ndryshuar, si dhe çdo vendim apo akt tjetër që bie në kundërshtim me këtë vendim, shfuqizohen.</w:t>
      </w:r>
    </w:p>
    <w:p w:rsidR="00A2344A" w:rsidRPr="009B3192" w:rsidRDefault="00A2344A" w:rsidP="00A2344A">
      <w:pPr>
        <w:pStyle w:val="Paragrafi"/>
        <w:rPr>
          <w:sz w:val="21"/>
          <w:szCs w:val="21"/>
          <w:lang w:val="it-IT"/>
        </w:rPr>
      </w:pPr>
      <w:r w:rsidRPr="009B3192">
        <w:rPr>
          <w:sz w:val="21"/>
          <w:szCs w:val="21"/>
          <w:lang w:val="it-IT"/>
        </w:rPr>
        <w:t>Ky vendim hyn në fuqi pas botimit në Fletoren Zyrtare.</w:t>
      </w:r>
    </w:p>
    <w:p w:rsidR="00AA2344" w:rsidRPr="009B3192" w:rsidRDefault="00AA2344" w:rsidP="00AA2344">
      <w:pPr>
        <w:pStyle w:val="Paragrafi"/>
        <w:ind w:firstLine="0"/>
        <w:rPr>
          <w:sz w:val="21"/>
          <w:szCs w:val="21"/>
          <w:lang w:val="it-IT"/>
        </w:rPr>
      </w:pPr>
    </w:p>
    <w:p w:rsidR="00A2344A" w:rsidRPr="009B3192" w:rsidRDefault="00A2344A" w:rsidP="00A2344A">
      <w:pPr>
        <w:pStyle w:val="Autoriteti"/>
        <w:rPr>
          <w:sz w:val="21"/>
          <w:szCs w:val="21"/>
          <w:lang w:val="it-IT"/>
        </w:rPr>
      </w:pPr>
      <w:r w:rsidRPr="009B3192">
        <w:rPr>
          <w:sz w:val="21"/>
          <w:szCs w:val="21"/>
          <w:lang w:val="it-IT"/>
        </w:rPr>
        <w:t>KRYEMINISTRI</w:t>
      </w:r>
    </w:p>
    <w:p w:rsidR="00A2344A" w:rsidRPr="009B3192" w:rsidRDefault="00A2344A" w:rsidP="00A2344A">
      <w:pPr>
        <w:pStyle w:val="AutoritetiEmer"/>
        <w:rPr>
          <w:sz w:val="21"/>
          <w:szCs w:val="21"/>
          <w:lang w:val="it-IT"/>
        </w:rPr>
      </w:pPr>
      <w:r w:rsidRPr="009B3192">
        <w:rPr>
          <w:sz w:val="21"/>
          <w:szCs w:val="21"/>
          <w:lang w:val="it-IT"/>
        </w:rPr>
        <w:t>Sali Berisha</w:t>
      </w:r>
    </w:p>
    <w:sectPr w:rsidR="00A2344A" w:rsidRPr="009B31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44A"/>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45829"/>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0D56"/>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3B33"/>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D766F"/>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C6A27"/>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B3192"/>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344A"/>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2344"/>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4185"/>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B26702-1AD4-4410-ACBF-0C338230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20E3F"/>
    <w:pPr>
      <w:spacing w:after="160" w:line="240" w:lineRule="exact"/>
    </w:pPr>
    <w:rPr>
      <w:rFonts w:ascii="Tahoma" w:eastAsia="MS Mincho" w:hAnsi="Tahoma"/>
      <w:sz w:val="20"/>
      <w:szCs w:val="20"/>
      <w:lang w:val="en-GB"/>
    </w:rPr>
  </w:style>
  <w:style w:type="character" w:customStyle="1" w:styleId="CharChar1">
    <w:name w:val="Char Char1"/>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B20E3F"/>
    <w:rPr>
      <w:rFonts w:ascii="CG Times" w:hAnsi="CG Times"/>
      <w:sz w:val="22"/>
      <w:lang w:val="en-GB"/>
    </w:rPr>
  </w:style>
  <w:style w:type="paragraph" w:customStyle="1" w:styleId="AneksiNr">
    <w:name w:val="Aneksi_Nr"/>
    <w:next w:val="Normal"/>
    <w:rsid w:val="00B20E3F"/>
    <w:pPr>
      <w:keepNext/>
      <w:widowControl w:val="0"/>
      <w:jc w:val="center"/>
    </w:pPr>
    <w:rPr>
      <w:rFonts w:ascii="CG Times" w:hAnsi="CG Times"/>
      <w:caps/>
      <w:sz w:val="22"/>
      <w:szCs w:val="22"/>
      <w:lang w:val="en-GB"/>
    </w:rPr>
  </w:style>
  <w:style w:type="paragraph" w:customStyle="1" w:styleId="AneksiTitull">
    <w:name w:val="Aneksi_Titull"/>
    <w:next w:val="Normal"/>
    <w:rsid w:val="00B20E3F"/>
    <w:pPr>
      <w:jc w:val="center"/>
    </w:pPr>
    <w:rPr>
      <w:rFonts w:ascii="CG Times" w:hAnsi="CG Times"/>
      <w:sz w:val="24"/>
      <w:szCs w:val="24"/>
      <w:lang w:val="en-GB"/>
    </w:rPr>
  </w:style>
  <w:style w:type="paragraph" w:customStyle="1" w:styleId="Autoriteti">
    <w:name w:val="Autoriteti"/>
    <w:next w:val="Normal"/>
    <w:rsid w:val="00B20E3F"/>
    <w:pPr>
      <w:keepNext/>
      <w:widowControl w:val="0"/>
      <w:jc w:val="right"/>
    </w:pPr>
    <w:rPr>
      <w:rFonts w:ascii="CG Times" w:hAnsi="CG Times"/>
      <w:caps/>
      <w:sz w:val="22"/>
      <w:szCs w:val="22"/>
      <w:lang w:val="en-GB"/>
    </w:rPr>
  </w:style>
  <w:style w:type="paragraph" w:customStyle="1" w:styleId="AutoritetiEmer">
    <w:name w:val="Autoriteti_Emer"/>
    <w:next w:val="Normal"/>
    <w:rsid w:val="00B20E3F"/>
    <w:pPr>
      <w:widowControl w:val="0"/>
      <w:jc w:val="right"/>
    </w:pPr>
    <w:rPr>
      <w:rFonts w:ascii="CG Times" w:hAnsi="CG Times"/>
      <w:b/>
      <w:sz w:val="22"/>
      <w:szCs w:val="22"/>
      <w:lang w:val="en-GB"/>
    </w:rPr>
  </w:style>
  <w:style w:type="character" w:customStyle="1" w:styleId="AutoritetiEmerCharChar">
    <w:name w:val="Autoriteti_Emer Char Char"/>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val="en-GB"/>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B20E3F"/>
    <w:rPr>
      <w:rFonts w:ascii="Trebuchet MS" w:eastAsia="MS Mincho" w:hAnsi="Trebuchet MS"/>
      <w:sz w:val="18"/>
      <w:lang w:val="en-GB" w:eastAsia="en-US" w:bidi="ar-SA"/>
    </w:rPr>
  </w:style>
  <w:style w:type="character" w:customStyle="1" w:styleId="Heading1CharChar">
    <w:name w:val="Heading 1 Char Char"/>
    <w:rsid w:val="00B20E3F"/>
    <w:rPr>
      <w:rFonts w:ascii="Trebuchet MS" w:eastAsia="MS Mincho" w:hAnsi="Trebuchet MS" w:cs="Arial"/>
      <w:b/>
      <w:bCs/>
      <w:kern w:val="32"/>
      <w:sz w:val="36"/>
      <w:szCs w:val="36"/>
      <w:lang w:val="en-US" w:eastAsia="en-US" w:bidi="ar-SA"/>
    </w:rPr>
  </w:style>
  <w:style w:type="character" w:customStyle="1" w:styleId="Heading2Char">
    <w:name w:val="Heading 2 Char"/>
    <w:rsid w:val="00B20E3F"/>
    <w:rPr>
      <w:rFonts w:ascii="Trebuchet MS" w:eastAsia="MS Mincho" w:hAnsi="Trebuchet MS" w:cs="Arial"/>
      <w:b/>
      <w:bCs/>
      <w:iCs/>
      <w:sz w:val="28"/>
      <w:szCs w:val="28"/>
      <w:lang w:val="en-US" w:eastAsia="en-US" w:bidi="ar-SA"/>
    </w:rPr>
  </w:style>
  <w:style w:type="character" w:customStyle="1" w:styleId="Heading3Char">
    <w:name w:val="Heading 3 Char"/>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val="en-GB"/>
    </w:rPr>
  </w:style>
  <w:style w:type="paragraph" w:customStyle="1" w:styleId="Kapakufund">
    <w:name w:val="Kapaku_fund"/>
    <w:next w:val="Normal"/>
    <w:rsid w:val="00B20E3F"/>
    <w:pPr>
      <w:pageBreakBefore/>
    </w:pPr>
    <w:rPr>
      <w:rFonts w:ascii="CG Times" w:hAnsi="CG Times"/>
      <w:b/>
      <w:sz w:val="22"/>
      <w:szCs w:val="22"/>
    </w:rPr>
  </w:style>
  <w:style w:type="paragraph" w:customStyle="1" w:styleId="KapitulliNr">
    <w:name w:val="Kapitulli_Nr"/>
    <w:rsid w:val="00B20E3F"/>
    <w:pPr>
      <w:keepNext/>
      <w:widowControl w:val="0"/>
      <w:jc w:val="center"/>
    </w:pPr>
    <w:rPr>
      <w:rFonts w:ascii="CG Times" w:hAnsi="CG Times"/>
      <w:caps/>
      <w:sz w:val="22"/>
      <w:szCs w:val="22"/>
      <w:lang w:val="en-GB"/>
    </w:rPr>
  </w:style>
  <w:style w:type="paragraph" w:customStyle="1" w:styleId="KapitulliTitull">
    <w:name w:val="Kapitulli_Titull"/>
    <w:rsid w:val="00B20E3F"/>
    <w:pPr>
      <w:keepNext/>
      <w:widowControl w:val="0"/>
      <w:jc w:val="center"/>
    </w:pPr>
    <w:rPr>
      <w:rFonts w:ascii="CG Times" w:hAnsi="CG Times"/>
      <w:caps/>
      <w:sz w:val="22"/>
      <w:szCs w:val="22"/>
      <w:lang w:val="en-GB"/>
    </w:rPr>
  </w:style>
  <w:style w:type="paragraph" w:customStyle="1" w:styleId="KreuNr">
    <w:name w:val="Kreu_Nr"/>
    <w:rsid w:val="00B20E3F"/>
    <w:pPr>
      <w:keepNext/>
      <w:widowControl w:val="0"/>
      <w:jc w:val="center"/>
    </w:pPr>
    <w:rPr>
      <w:rFonts w:ascii="CG Times" w:hAnsi="CG Times"/>
      <w:caps/>
      <w:sz w:val="22"/>
      <w:szCs w:val="22"/>
    </w:rPr>
  </w:style>
  <w:style w:type="paragraph" w:customStyle="1" w:styleId="KreuTitull">
    <w:name w:val="Kreu_Titull"/>
    <w:next w:val="KapitulliTitull"/>
    <w:rsid w:val="00B20E3F"/>
    <w:pPr>
      <w:keepNext/>
      <w:widowControl w:val="0"/>
      <w:jc w:val="center"/>
    </w:pPr>
    <w:rPr>
      <w:rFonts w:ascii="CG Times" w:hAnsi="CG Times"/>
      <w:caps/>
      <w:sz w:val="22"/>
      <w:szCs w:val="22"/>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1">
    <w:name w:val="List Bullet1"/>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rsid w:val="00B20E3F"/>
    <w:rPr>
      <w:rFonts w:ascii="Trebuchet MS" w:eastAsia="MS Mincho" w:hAnsi="Trebuchet MS"/>
      <w:sz w:val="22"/>
      <w:szCs w:val="22"/>
      <w:lang w:val="en-US" w:eastAsia="en-US" w:bidi="ar-SA"/>
    </w:rPr>
  </w:style>
  <w:style w:type="character" w:customStyle="1" w:styleId="ListBulletCharChar">
    <w:name w:val="List Bullet Char Char"/>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rPr>
  </w:style>
  <w:style w:type="paragraph" w:customStyle="1" w:styleId="NeniNr">
    <w:name w:val="Neni_Nr"/>
    <w:next w:val="Normal"/>
    <w:rsid w:val="00B20E3F"/>
    <w:pPr>
      <w:keepNext/>
      <w:widowControl w:val="0"/>
      <w:jc w:val="center"/>
    </w:pPr>
    <w:rPr>
      <w:rFonts w:ascii="CG Times" w:hAnsi="CG Times"/>
      <w:sz w:val="22"/>
      <w:lang w:val="en-GB"/>
    </w:rPr>
  </w:style>
  <w:style w:type="paragraph" w:customStyle="1" w:styleId="NeniTitull">
    <w:name w:val="Neni_Titull"/>
    <w:next w:val="Normal"/>
    <w:rsid w:val="00B20E3F"/>
    <w:pPr>
      <w:keepNext/>
      <w:widowControl w:val="0"/>
      <w:jc w:val="center"/>
      <w:outlineLvl w:val="2"/>
    </w:pPr>
    <w:rPr>
      <w:rFonts w:ascii="CG Times" w:hAnsi="CG Times"/>
      <w:b/>
      <w:sz w:val="22"/>
      <w:lang w:val="en-GB"/>
    </w:rPr>
  </w:style>
  <w:style w:type="paragraph" w:customStyle="1" w:styleId="NenkreuNr">
    <w:name w:val="Nenkreu_Nr"/>
    <w:rsid w:val="00B20E3F"/>
    <w:pPr>
      <w:keepNext/>
      <w:widowControl w:val="0"/>
      <w:jc w:val="center"/>
    </w:pPr>
    <w:rPr>
      <w:rFonts w:ascii="CG Times" w:hAnsi="CG Times"/>
      <w:caps/>
      <w:sz w:val="22"/>
      <w:szCs w:val="22"/>
      <w:lang w:val="en-GB"/>
    </w:rPr>
  </w:style>
  <w:style w:type="paragraph" w:customStyle="1" w:styleId="NenkreuTitull">
    <w:name w:val="Nenkreu_Titull"/>
    <w:rsid w:val="00B20E3F"/>
    <w:pPr>
      <w:jc w:val="center"/>
    </w:pPr>
    <w:rPr>
      <w:rFonts w:ascii="CG Times" w:hAnsi="CG Times"/>
      <w:caps/>
      <w:sz w:val="22"/>
      <w:szCs w:val="22"/>
      <w:lang w:val="en-GB"/>
    </w:rPr>
  </w:style>
  <w:style w:type="paragraph" w:customStyle="1" w:styleId="Nenpika">
    <w:name w:val="Nenpika"/>
    <w:next w:val="Normal"/>
    <w:autoRedefine/>
    <w:rsid w:val="00B20E3F"/>
    <w:pPr>
      <w:ind w:firstLine="720"/>
    </w:pPr>
    <w:rPr>
      <w:rFonts w:ascii="CG Times" w:hAnsi="CG Times"/>
      <w:sz w:val="22"/>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val="en-GB"/>
    </w:rPr>
  </w:style>
  <w:style w:type="paragraph" w:customStyle="1" w:styleId="NumriData">
    <w:name w:val="Numri_Data"/>
    <w:next w:val="Normal"/>
    <w:rsid w:val="00B20E3F"/>
    <w:pPr>
      <w:keepNext/>
      <w:widowControl w:val="0"/>
      <w:jc w:val="center"/>
      <w:outlineLvl w:val="0"/>
    </w:pPr>
    <w:rPr>
      <w:rFonts w:ascii="CG Times" w:hAnsi="CG Times"/>
      <w:b/>
      <w:sz w:val="22"/>
      <w:lang w:val="en-GB"/>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val="en-GB"/>
    </w:rPr>
  </w:style>
  <w:style w:type="paragraph" w:customStyle="1" w:styleId="PjesaTitull">
    <w:name w:val="Pjesa_Titull"/>
    <w:rsid w:val="00B20E3F"/>
    <w:pPr>
      <w:keepNext/>
      <w:widowControl w:val="0"/>
      <w:jc w:val="center"/>
    </w:pPr>
    <w:rPr>
      <w:rFonts w:ascii="CG Times" w:hAnsi="CG Times"/>
      <w:caps/>
      <w:sz w:val="22"/>
      <w:szCs w:val="22"/>
      <w:lang w:val="en-GB"/>
    </w:rPr>
  </w:style>
  <w:style w:type="paragraph" w:customStyle="1" w:styleId="Section">
    <w:name w:val="Section"/>
    <w:rsid w:val="00B20E3F"/>
    <w:rPr>
      <w:rFonts w:ascii="Arial" w:eastAsia="MS Mincho" w:hAnsi="Arial" w:cs="Arial"/>
      <w:bCs/>
      <w:kern w:val="32"/>
      <w:sz w:val="48"/>
      <w:szCs w:val="32"/>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hpallja">
    <w:name w:val="Shpallja"/>
    <w:rsid w:val="00B20E3F"/>
    <w:pPr>
      <w:widowControl w:val="0"/>
      <w:jc w:val="both"/>
    </w:pPr>
    <w:rPr>
      <w:rFonts w:ascii="CG Times" w:hAnsi="CG Times"/>
      <w:b/>
      <w:color w:val="000000"/>
      <w:sz w:val="22"/>
      <w:szCs w:val="22"/>
      <w:lang w:val="sq-AL"/>
    </w:rPr>
  </w:style>
  <w:style w:type="paragraph" w:customStyle="1" w:styleId="Style">
    <w:name w:val="Style"/>
    <w:rsid w:val="00B20E3F"/>
    <w:pPr>
      <w:widowControl w:val="0"/>
      <w:autoSpaceDE w:val="0"/>
      <w:autoSpaceDN w:val="0"/>
      <w:adjustRightInd w:val="0"/>
    </w:pPr>
    <w:rPr>
      <w:rFonts w:eastAsia="MS Mincho"/>
      <w:sz w:val="24"/>
      <w:szCs w:val="24"/>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val="en-GB"/>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val="en-GB"/>
    </w:rPr>
  </w:style>
  <w:style w:type="character" w:customStyle="1" w:styleId="TitulliCharChar">
    <w:name w:val="Titulli Char Char"/>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val="en-GB"/>
    </w:rPr>
  </w:style>
  <w:style w:type="paragraph" w:customStyle="1" w:styleId="TitulliTitull">
    <w:name w:val="Titulli_Titull"/>
    <w:rsid w:val="00B20E3F"/>
    <w:pPr>
      <w:keepNext/>
      <w:widowControl w:val="0"/>
      <w:jc w:val="center"/>
      <w:outlineLvl w:val="0"/>
    </w:pPr>
    <w:rPr>
      <w:rFonts w:ascii="CG Times" w:hAnsi="CG Times"/>
      <w:caps/>
      <w:sz w:val="22"/>
      <w:szCs w:val="22"/>
      <w:lang w:val="en-GB"/>
    </w:rPr>
  </w:style>
  <w:style w:type="paragraph" w:customStyle="1" w:styleId="VENDOSI">
    <w:name w:val="VENDOSI"/>
    <w:next w:val="Normal"/>
    <w:rsid w:val="00B20E3F"/>
    <w:pPr>
      <w:keepNext/>
      <w:widowControl w:val="0"/>
      <w:jc w:val="center"/>
    </w:pPr>
    <w:rPr>
      <w:rFonts w:ascii="CG Times" w:hAnsi="CG Times"/>
      <w:caps/>
      <w:sz w:val="22"/>
      <w:szCs w:val="22"/>
      <w:lang w:val="en-GB"/>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link w:val="Paragrafi"/>
    <w:locked/>
    <w:rsid w:val="00A2344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Elona Baci</cp:lastModifiedBy>
  <cp:revision>2</cp:revision>
  <dcterms:created xsi:type="dcterms:W3CDTF">2020-07-24T09:52:00Z</dcterms:created>
  <dcterms:modified xsi:type="dcterms:W3CDTF">2020-07-24T09:52:00Z</dcterms:modified>
</cp:coreProperties>
</file>