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67C" w:rsidRPr="00C9292B" w:rsidRDefault="00F8267C" w:rsidP="00F8267C">
      <w:pPr>
        <w:pStyle w:val="Akti"/>
        <w:rPr>
          <w:rFonts w:eastAsia="MS Mincho"/>
          <w:lang w:val="sq-AL"/>
        </w:rPr>
      </w:pPr>
      <w:bookmarkStart w:id="0" w:name="_GoBack"/>
      <w:bookmarkEnd w:id="0"/>
      <w:r w:rsidRPr="00C9292B">
        <w:rPr>
          <w:rFonts w:eastAsia="MS Mincho"/>
          <w:lang w:val="sq-AL"/>
        </w:rPr>
        <w:t>VENDIM</w:t>
      </w:r>
    </w:p>
    <w:p w:rsidR="00F8267C" w:rsidRPr="00C9292B" w:rsidRDefault="00F8267C" w:rsidP="00F8267C">
      <w:pPr>
        <w:pStyle w:val="NumriData"/>
        <w:rPr>
          <w:lang w:val="sq-AL"/>
        </w:rPr>
      </w:pPr>
      <w:r w:rsidRPr="00C9292B">
        <w:rPr>
          <w:rFonts w:eastAsia="MS Mincho"/>
          <w:lang w:val="sq-AL"/>
        </w:rPr>
        <w:t>Nr.18, datë 12.1.2011</w:t>
      </w:r>
    </w:p>
    <w:p w:rsidR="00F8267C" w:rsidRPr="00C9292B" w:rsidRDefault="00F8267C" w:rsidP="00F8267C">
      <w:pPr>
        <w:pStyle w:val="Paragrafi"/>
        <w:rPr>
          <w:rFonts w:eastAsia="MS Mincho"/>
          <w:lang w:val="sq-AL"/>
        </w:rPr>
      </w:pPr>
    </w:p>
    <w:p w:rsidR="00F8267C" w:rsidRPr="00C9292B" w:rsidRDefault="00F8267C" w:rsidP="00F8267C">
      <w:pPr>
        <w:pStyle w:val="Titulli"/>
        <w:rPr>
          <w:lang w:val="sq-AL"/>
        </w:rPr>
      </w:pPr>
      <w:r w:rsidRPr="00C9292B">
        <w:rPr>
          <w:rFonts w:eastAsia="MS Mincho"/>
          <w:lang w:val="sq-AL"/>
        </w:rPr>
        <w:t> PËR</w:t>
      </w:r>
      <w:r w:rsidRPr="00C9292B">
        <w:rPr>
          <w:lang w:val="sq-AL"/>
        </w:rPr>
        <w:t xml:space="preserve"> </w:t>
      </w:r>
      <w:r w:rsidRPr="00C9292B">
        <w:rPr>
          <w:rFonts w:eastAsia="MS Mincho"/>
          <w:lang w:val="sq-AL"/>
        </w:rPr>
        <w:t>DISA NDRYSHIME NË VENDIMIN NR.1058, DATË 21.10.2009  TË KËSHILLIT TË MINISTRAVE “PËR PËRCAKTIMIN  E KUFIRIT MINIMAL TË REGJISTRIMIT PËR TATIMIN MBI VLERËN E SHTUAR (TVSH)”</w:t>
      </w:r>
      <w:r w:rsidRPr="00C9292B">
        <w:rPr>
          <w:lang w:val="sq-AL"/>
        </w:rPr>
        <w:br/>
        <w:t> </w:t>
      </w:r>
    </w:p>
    <w:p w:rsidR="00F8267C" w:rsidRPr="00C9292B" w:rsidRDefault="00F8267C" w:rsidP="00F8267C">
      <w:pPr>
        <w:pStyle w:val="Paragrafi"/>
        <w:rPr>
          <w:lang w:val="sq-AL"/>
        </w:rPr>
      </w:pPr>
      <w:r w:rsidRPr="00C9292B">
        <w:rPr>
          <w:lang w:val="sq-AL"/>
        </w:rPr>
        <w:t>Në mbështetje të nenit 100 të Kushtetutës dhe të pikës 5 të nenit 3 të   ligjit nr.7928, datë 27.4.1995 “Për tatimin mbi vlerën e shtuar”, të ndryshuar,  me propozimin e Ministrit të Financave, Këshilli i Ministrave</w:t>
      </w:r>
    </w:p>
    <w:p w:rsidR="00F8267C" w:rsidRPr="00C9292B" w:rsidRDefault="00F8267C" w:rsidP="00F8267C">
      <w:pPr>
        <w:pStyle w:val="Paragrafi"/>
        <w:rPr>
          <w:rFonts w:eastAsia="MS Mincho"/>
          <w:sz w:val="12"/>
          <w:lang w:val="sq-AL"/>
        </w:rPr>
      </w:pPr>
    </w:p>
    <w:p w:rsidR="00F8267C" w:rsidRPr="00C9292B" w:rsidRDefault="00F8267C" w:rsidP="00F8267C">
      <w:pPr>
        <w:pStyle w:val="VENDOSI"/>
        <w:rPr>
          <w:lang w:val="sq-AL"/>
        </w:rPr>
      </w:pPr>
      <w:r w:rsidRPr="00C9292B">
        <w:rPr>
          <w:rFonts w:eastAsia="MS Mincho"/>
          <w:lang w:val="sq-AL"/>
        </w:rPr>
        <w:t>VENDOSI:</w:t>
      </w:r>
    </w:p>
    <w:p w:rsidR="00F8267C" w:rsidRPr="00C9292B" w:rsidRDefault="00F8267C" w:rsidP="00F8267C">
      <w:pPr>
        <w:pStyle w:val="Paragrafi"/>
        <w:rPr>
          <w:sz w:val="18"/>
          <w:lang w:val="sq-AL"/>
        </w:rPr>
      </w:pPr>
    </w:p>
    <w:p w:rsidR="00F8267C" w:rsidRPr="00C9292B" w:rsidRDefault="00F8267C" w:rsidP="00F8267C">
      <w:pPr>
        <w:pStyle w:val="Paragrafi"/>
        <w:rPr>
          <w:lang w:val="sq-AL"/>
        </w:rPr>
      </w:pPr>
      <w:r w:rsidRPr="00C9292B">
        <w:rPr>
          <w:lang w:val="sq-AL"/>
        </w:rPr>
        <w:t>Në vendimin nr.1058, datë 21.10.2009 të Këshillit të Ministrave, paragrafi i dytë dhe i tretë të zëvendësohen me paragrafin, si më poshtë vijon:</w:t>
      </w:r>
    </w:p>
    <w:p w:rsidR="00F8267C" w:rsidRPr="00C9292B" w:rsidRDefault="00F8267C" w:rsidP="00F8267C">
      <w:pPr>
        <w:pStyle w:val="Paragrafi"/>
        <w:rPr>
          <w:lang w:val="sq-AL"/>
        </w:rPr>
      </w:pPr>
    </w:p>
    <w:p w:rsidR="00F8267C" w:rsidRPr="00C9292B" w:rsidRDefault="00F8267C" w:rsidP="00F8267C">
      <w:pPr>
        <w:pStyle w:val="Paragrafi"/>
        <w:rPr>
          <w:lang w:val="sq-AL"/>
        </w:rPr>
      </w:pPr>
      <w:r w:rsidRPr="00C9292B">
        <w:rPr>
          <w:lang w:val="sq-AL"/>
        </w:rPr>
        <w:t>“Ndërsa, për tatimpaguesit, që ofrojnë shërbime në veprimtari ekonomike, sipas profesioneve, të tilla si:  avokat, noter, mjek i specializuar, dentist, dentist i specializuar, farmacist, infermier, mami, veteriner, arkitekt, inxhinier, mjek-laborant, projektues, ekonomist, agronom, ekspert kontabël i regjistruar, dhe kontabilist i miratuar dhe vlerësues i pasurisë, si dhe në veprimtarinë ekonomike në fushën e hotelerisë, pavarësisht nga qarkullimi vjetor, kufiri minimal i regjistrimit për TVSH-në hiqet dhe të gjithë janë subjekte të  TVSH-së.”.</w:t>
      </w:r>
    </w:p>
    <w:p w:rsidR="00F8267C" w:rsidRPr="00C9292B" w:rsidRDefault="00F8267C" w:rsidP="00F8267C">
      <w:pPr>
        <w:pStyle w:val="Paragrafi"/>
        <w:rPr>
          <w:lang w:val="sq-AL"/>
        </w:rPr>
      </w:pPr>
      <w:r w:rsidRPr="00C9292B">
        <w:rPr>
          <w:lang w:val="sq-AL"/>
        </w:rPr>
        <w:t>Ky vendim hyn në fuqi pas botimit në Fletoren Zyrtare dhe i shtrin efektet nga data 1 shkurt  2011.</w:t>
      </w:r>
    </w:p>
    <w:p w:rsidR="00F8267C" w:rsidRPr="00C9292B" w:rsidRDefault="00F8267C" w:rsidP="00F8267C">
      <w:pPr>
        <w:pStyle w:val="Paragrafi"/>
        <w:rPr>
          <w:sz w:val="14"/>
          <w:lang w:val="sq-AL"/>
        </w:rPr>
      </w:pPr>
    </w:p>
    <w:p w:rsidR="00F8267C" w:rsidRPr="00C9292B" w:rsidRDefault="00F8267C" w:rsidP="00F8267C">
      <w:pPr>
        <w:pStyle w:val="Autoriteti"/>
        <w:rPr>
          <w:lang w:val="sq-AL"/>
        </w:rPr>
      </w:pPr>
      <w:r w:rsidRPr="00C9292B">
        <w:rPr>
          <w:lang w:val="sq-AL"/>
        </w:rPr>
        <w:t>Kryeministri</w:t>
      </w:r>
    </w:p>
    <w:p w:rsidR="00F8267C" w:rsidRPr="00C9292B" w:rsidRDefault="00F8267C" w:rsidP="00F8267C">
      <w:pPr>
        <w:pStyle w:val="AutoritetiEmer"/>
        <w:rPr>
          <w:lang w:val="sq-AL"/>
        </w:rPr>
      </w:pPr>
      <w:r w:rsidRPr="00C9292B">
        <w:rPr>
          <w:lang w:val="sq-AL"/>
        </w:rPr>
        <w:t>Sali Berisha</w:t>
      </w:r>
    </w:p>
    <w:sectPr w:rsidR="00F8267C" w:rsidRPr="00C9292B" w:rsidSect="00C02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8267C"/>
    <w:rsid w:val="00130B6D"/>
    <w:rsid w:val="001B34A9"/>
    <w:rsid w:val="00280E90"/>
    <w:rsid w:val="003430B4"/>
    <w:rsid w:val="004C31D9"/>
    <w:rsid w:val="004F6270"/>
    <w:rsid w:val="00A434B8"/>
    <w:rsid w:val="00C02F03"/>
    <w:rsid w:val="00D73510"/>
    <w:rsid w:val="00ED430B"/>
    <w:rsid w:val="00F8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96A52B6-1687-4D55-BB8F-0108D1250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E90"/>
    <w:pPr>
      <w:spacing w:after="200" w:line="276" w:lineRule="auto"/>
    </w:pPr>
    <w:rPr>
      <w:rFonts w:ascii="Calibri" w:hAnsi="Calibri"/>
      <w:sz w:val="22"/>
      <w:szCs w:val="22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0E9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280E90"/>
    <w:pPr>
      <w:spacing w:after="160" w:line="240" w:lineRule="exact"/>
    </w:pPr>
    <w:rPr>
      <w:rFonts w:ascii="Tahoma" w:eastAsia="MS Mincho" w:hAnsi="Tahoma"/>
      <w:lang w:val="en-GB"/>
    </w:rPr>
  </w:style>
  <w:style w:type="paragraph" w:customStyle="1" w:styleId="Akti">
    <w:name w:val="Akti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280E90"/>
    <w:rPr>
      <w:rFonts w:ascii="CG Times" w:eastAsia="Times New Roman" w:hAnsi="CG Times"/>
      <w:sz w:val="22"/>
      <w:lang w:val="en-GB"/>
    </w:rPr>
  </w:style>
  <w:style w:type="paragraph" w:customStyle="1" w:styleId="AneksiNr">
    <w:name w:val="Aneks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280E90"/>
    <w:pPr>
      <w:jc w:val="center"/>
    </w:pPr>
    <w:rPr>
      <w:rFonts w:ascii="CG Times" w:eastAsia="Times New Roman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280E90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80E90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280E90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/>
    </w:rPr>
  </w:style>
  <w:style w:type="paragraph" w:customStyle="1" w:styleId="Paragrafi">
    <w:name w:val="Paragrafi"/>
    <w:rsid w:val="00280E90"/>
    <w:pPr>
      <w:widowControl w:val="0"/>
      <w:ind w:firstLine="720"/>
      <w:jc w:val="both"/>
    </w:pPr>
    <w:rPr>
      <w:rFonts w:ascii="CG Times" w:eastAsia="Times New Roman" w:hAnsi="CG Times"/>
      <w:sz w:val="22"/>
    </w:rPr>
  </w:style>
  <w:style w:type="paragraph" w:customStyle="1" w:styleId="Institucioni">
    <w:name w:val="Institucion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280E90"/>
    <w:pPr>
      <w:pageBreakBefore/>
    </w:pPr>
    <w:rPr>
      <w:rFonts w:ascii="CG Times" w:eastAsia="Times New Roman" w:hAnsi="CG Times"/>
      <w:b/>
      <w:sz w:val="22"/>
      <w:szCs w:val="22"/>
    </w:rPr>
  </w:style>
  <w:style w:type="paragraph" w:customStyle="1" w:styleId="KapitulliNr">
    <w:name w:val="Kap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reuNr">
    <w:name w:val="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NeniNr">
    <w:name w:val="Nen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sz w:val="22"/>
      <w:lang w:val="en-GB"/>
    </w:rPr>
  </w:style>
  <w:style w:type="paragraph" w:customStyle="1" w:styleId="NeniTitull">
    <w:name w:val="Neni_Titull"/>
    <w:next w:val="Normal"/>
    <w:rsid w:val="00280E90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/>
    </w:rPr>
  </w:style>
  <w:style w:type="paragraph" w:customStyle="1" w:styleId="NenkreuNr">
    <w:name w:val="Nen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280E90"/>
    <w:pPr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/>
    </w:rPr>
  </w:style>
  <w:style w:type="paragraph" w:customStyle="1" w:styleId="Pika">
    <w:name w:val="Pika"/>
    <w:next w:val="Normal"/>
    <w:autoRedefine/>
    <w:rsid w:val="00280E90"/>
    <w:pPr>
      <w:ind w:firstLine="720"/>
    </w:pPr>
    <w:rPr>
      <w:rFonts w:ascii="CG Times" w:eastAsia="Times New Roman" w:hAnsi="CG Times"/>
      <w:sz w:val="22"/>
    </w:rPr>
  </w:style>
  <w:style w:type="paragraph" w:customStyle="1" w:styleId="PikeKreu">
    <w:name w:val="Pike_Kreu"/>
    <w:basedOn w:val="Heading1"/>
    <w:rsid w:val="00280E90"/>
    <w:pPr>
      <w:keepLines w:val="0"/>
      <w:widowControl w:val="0"/>
      <w:spacing w:before="0"/>
      <w:jc w:val="center"/>
    </w:pPr>
    <w:rPr>
      <w:rFonts w:ascii="CG Times" w:eastAsia="MS Mincho" w:hAnsi="CG Times"/>
      <w:b w:val="0"/>
      <w:bCs w:val="0"/>
      <w:caps/>
      <w:color w:val="auto"/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80E90"/>
    <w:rPr>
      <w:rFonts w:ascii="Cambria" w:eastAsia="Times New Roman" w:hAnsi="Cambria" w:cs="Times New Roman"/>
      <w:b/>
      <w:bCs/>
      <w:color w:val="365F91"/>
      <w:sz w:val="28"/>
      <w:szCs w:val="28"/>
      <w:lang w:val="fr-FR"/>
    </w:rPr>
  </w:style>
  <w:style w:type="paragraph" w:customStyle="1" w:styleId="PjesaNr">
    <w:name w:val="Pjesa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PjesaTitull">
    <w:name w:val="Pjesa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Shpallja">
    <w:name w:val="Shpallja"/>
    <w:rsid w:val="00280E90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280E90"/>
    <w:rPr>
      <w:rFonts w:ascii="CG Times" w:eastAsia="Times New Roman" w:hAnsi="CG Times"/>
      <w:sz w:val="22"/>
      <w:lang w:val="en-GB"/>
    </w:rPr>
  </w:style>
  <w:style w:type="paragraph" w:customStyle="1" w:styleId="Table">
    <w:name w:val="Table"/>
    <w:basedOn w:val="Normal"/>
    <w:next w:val="Normal"/>
    <w:autoRedefine/>
    <w:rsid w:val="00280E90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val="sq-AL" w:eastAsia="en-GB"/>
    </w:rPr>
  </w:style>
  <w:style w:type="paragraph" w:customStyle="1" w:styleId="Titulli">
    <w:name w:val="Titulli"/>
    <w:next w:val="Normal"/>
    <w:rsid w:val="00280E90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Adrenaline</Company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dc:description/>
  <cp:lastModifiedBy>QBZ Admin</cp:lastModifiedBy>
  <cp:revision>2</cp:revision>
  <dcterms:created xsi:type="dcterms:W3CDTF">2019-03-19T13:59:00Z</dcterms:created>
  <dcterms:modified xsi:type="dcterms:W3CDTF">2019-03-19T13:59:00Z</dcterms:modified>
</cp:coreProperties>
</file>