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842" w:rsidRDefault="00302842" w:rsidP="00302842">
      <w:pPr>
        <w:pStyle w:val="Akti"/>
      </w:pPr>
      <w:bookmarkStart w:id="0" w:name="_GoBack"/>
      <w:bookmarkEnd w:id="0"/>
      <w:r>
        <w:t>Vendim</w:t>
      </w:r>
    </w:p>
    <w:p w:rsidR="00302842" w:rsidRDefault="00302842" w:rsidP="00302842">
      <w:pPr>
        <w:pStyle w:val="NumriData"/>
      </w:pPr>
      <w:r>
        <w:t>Nr.187, datë 9.3.2011</w:t>
      </w:r>
    </w:p>
    <w:p w:rsidR="00302842" w:rsidRDefault="00302842" w:rsidP="00302842">
      <w:pPr>
        <w:pStyle w:val="Paragrafi"/>
        <w:rPr>
          <w:lang w:val="sq-AL"/>
        </w:rPr>
      </w:pPr>
    </w:p>
    <w:p w:rsidR="00302842" w:rsidRDefault="00302842" w:rsidP="00302842">
      <w:pPr>
        <w:pStyle w:val="Titulli"/>
      </w:pPr>
      <w:r>
        <w:t>Për disa ndryshime dhe shtesa në vendimin nr.1078, datë 29.12.2010 të Këshillit të Ministrave “Për autorizimin e importit të mbetjeve metalike të hekurit dhe çelikut, për qëllime riciklimi, nga shoqëria Kurum International Sha”</w:t>
      </w:r>
    </w:p>
    <w:p w:rsidR="00302842" w:rsidRDefault="00302842" w:rsidP="00302842">
      <w:pPr>
        <w:pStyle w:val="Titulli"/>
      </w:pPr>
    </w:p>
    <w:p w:rsidR="00302842" w:rsidRDefault="00302842" w:rsidP="00302842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pikës 3 të nenit 22 të ligjit nr.8934, datë 5.9.2002 “Për mbrojtjen e mjedisit”, të ndryshuar, dhe të nenit 26 të ligjit nr.9010, datë 13.2.2003 “Për administrimin mjedisor të mbetjeve të ngurta”, të ndryshuar, me propozimin e Ministrit të Mjedisit, Pyjeve dhe Administrimit të Ujërave, Këshilli i Ministrave</w:t>
      </w:r>
    </w:p>
    <w:p w:rsidR="00302842" w:rsidRDefault="00302842" w:rsidP="00302842">
      <w:pPr>
        <w:pStyle w:val="VENDOSI"/>
        <w:keepNext w:val="0"/>
      </w:pPr>
    </w:p>
    <w:p w:rsidR="00302842" w:rsidRDefault="00302842" w:rsidP="00302842">
      <w:pPr>
        <w:pStyle w:val="VENDOSI"/>
      </w:pPr>
      <w:r>
        <w:t>Vendosi:</w:t>
      </w:r>
    </w:p>
    <w:p w:rsidR="00302842" w:rsidRPr="009F2874" w:rsidRDefault="00302842" w:rsidP="00302842">
      <w:pPr>
        <w:pStyle w:val="Paragrafi"/>
        <w:rPr>
          <w:sz w:val="16"/>
          <w:lang w:val="sq-AL"/>
        </w:rPr>
      </w:pPr>
    </w:p>
    <w:p w:rsidR="00302842" w:rsidRDefault="00302842" w:rsidP="00302842">
      <w:pPr>
        <w:pStyle w:val="Paragrafi"/>
        <w:rPr>
          <w:lang w:val="sq-AL"/>
        </w:rPr>
      </w:pPr>
      <w:r>
        <w:rPr>
          <w:lang w:val="sq-AL"/>
        </w:rPr>
        <w:t>I. Në vendimin nr.1078, datë 29.12.2010 të Këshillit të Ministrave, bëhen këto ndryshime dhe shtesa:</w:t>
      </w:r>
    </w:p>
    <w:p w:rsidR="00302842" w:rsidRDefault="00302842" w:rsidP="00302842">
      <w:pPr>
        <w:pStyle w:val="Paragrafi"/>
        <w:rPr>
          <w:lang w:val="sq-AL"/>
        </w:rPr>
      </w:pPr>
      <w:r>
        <w:rPr>
          <w:lang w:val="sq-AL"/>
        </w:rPr>
        <w:t>1. Pika 3 ndryshohet, si më poshtë vijon:</w:t>
      </w:r>
    </w:p>
    <w:p w:rsidR="00302842" w:rsidRDefault="00302842" w:rsidP="00302842">
      <w:pPr>
        <w:pStyle w:val="Paragrafi"/>
        <w:rPr>
          <w:lang w:val="sq-AL"/>
        </w:rPr>
      </w:pPr>
      <w:r>
        <w:rPr>
          <w:lang w:val="sq-AL"/>
        </w:rPr>
        <w:t>“3. Mbetjet importohen nga shtete të Bashkimit Europian apo shtete anëtare të Konventës së Bazelit, duke plotësuar të gjithë dokumentacionin e nevojshëm ligjor për transportin ndërkombëtar të mbetjeve, si dhe në bazë të kërkesave të përcaktuara në pikën II të vendimit nr.806, datë 4.12.2003 të Këshillit të Ministrave “Për miratimin e rregullave dhe procedurave për importimin e mbetjeve për përdorim, përpunim dhe riciklim”.”.</w:t>
      </w:r>
    </w:p>
    <w:p w:rsidR="00302842" w:rsidRDefault="00302842" w:rsidP="00302842">
      <w:pPr>
        <w:pStyle w:val="Paragrafi"/>
        <w:rPr>
          <w:lang w:val="sq-AL"/>
        </w:rPr>
      </w:pPr>
      <w:r>
        <w:rPr>
          <w:lang w:val="sq-AL"/>
        </w:rPr>
        <w:t>2. Pas pikës 3 shtohen pikat 4, 5 dhe 6, me këtë përmbajtje:</w:t>
      </w:r>
    </w:p>
    <w:p w:rsidR="00302842" w:rsidRDefault="00302842" w:rsidP="00302842">
      <w:pPr>
        <w:pStyle w:val="Paragrafi"/>
        <w:rPr>
          <w:lang w:val="sq-AL"/>
        </w:rPr>
      </w:pPr>
      <w:r>
        <w:rPr>
          <w:lang w:val="sq-AL"/>
        </w:rPr>
        <w:t>“4. Për çdo transfertë ndërkufitare të mbetjeve, shoqëria Kurum International sh.a., dorëzon të plotësuar në Ministrinë e Mjedisit, Pyjeve dhe Administrimit të Ujërave, dokumentin e lëvizjes/transfertës ndërkufitare të mbetjeve, sipas formatit të dhënë në aneksin IV të vendimit nr.825, datë 13.10.2010 të Këshillit të Ministrave “Për miratimin e listave të mbetjeve që lejohen të importohen për qëllime përdorimi, riciklimi dhe përpunimi”.</w:t>
      </w:r>
    </w:p>
    <w:p w:rsidR="00302842" w:rsidRDefault="00302842" w:rsidP="00302842">
      <w:pPr>
        <w:pStyle w:val="Paragrafi"/>
        <w:rPr>
          <w:lang w:val="sq-AL"/>
        </w:rPr>
      </w:pPr>
      <w:r>
        <w:rPr>
          <w:lang w:val="sq-AL"/>
        </w:rPr>
        <w:t>5. Çdo transfertë mbetjesh duhet të jetë e pajisur me raport-analize, të kryer për aspektin e radioaktivitetit.</w:t>
      </w:r>
    </w:p>
    <w:p w:rsidR="00302842" w:rsidRDefault="00302842" w:rsidP="00302842">
      <w:pPr>
        <w:pStyle w:val="Paragrafi"/>
        <w:rPr>
          <w:lang w:val="sq-AL"/>
        </w:rPr>
      </w:pPr>
      <w:r>
        <w:rPr>
          <w:lang w:val="sq-AL"/>
        </w:rPr>
        <w:t>6. Skrapi i importuar nuk duhet të ketë në përbërje të tij mbetje apo pjesë predhash e municionesh luftarake.”.</w:t>
      </w:r>
    </w:p>
    <w:p w:rsidR="00302842" w:rsidRDefault="00302842" w:rsidP="00302842">
      <w:pPr>
        <w:pStyle w:val="Paragrafi"/>
        <w:rPr>
          <w:lang w:val="sq-AL"/>
        </w:rPr>
      </w:pPr>
      <w:r>
        <w:rPr>
          <w:lang w:val="sq-AL"/>
        </w:rPr>
        <w:t>II. Ngarkohen Ministria e Mjedisit, Pyjeve dhe Administrimit të Ujërave dhe Drejtoria e Përgjithshme e Doganave për zbatimin e këtij vendimi.</w:t>
      </w:r>
    </w:p>
    <w:p w:rsidR="00302842" w:rsidRDefault="00302842" w:rsidP="00302842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302842" w:rsidRPr="009F2874" w:rsidRDefault="00302842" w:rsidP="00302842">
      <w:pPr>
        <w:pStyle w:val="Paragrafi"/>
        <w:rPr>
          <w:sz w:val="16"/>
          <w:lang w:val="sq-AL"/>
        </w:rPr>
      </w:pPr>
    </w:p>
    <w:p w:rsidR="00302842" w:rsidRDefault="00302842" w:rsidP="00302842">
      <w:pPr>
        <w:pStyle w:val="Autoriteti"/>
      </w:pPr>
      <w:r>
        <w:t>Kryeministri</w:t>
      </w:r>
    </w:p>
    <w:p w:rsidR="00302842" w:rsidRPr="00E138F1" w:rsidRDefault="00302842" w:rsidP="00302842">
      <w:pPr>
        <w:pStyle w:val="AutoritetiEmer"/>
      </w:pPr>
      <w:r>
        <w:t>Sali Berisha</w:t>
      </w:r>
    </w:p>
    <w:sectPr w:rsidR="00302842" w:rsidRPr="00E138F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02842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02842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45FC3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83A8EE-DAC3-4EDA-98AA-44474D6B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rsid w:val="0030284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0284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30284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302842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30284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2019-03-19T14:07:00Z</dcterms:created>
  <dcterms:modified xsi:type="dcterms:W3CDTF">2019-03-19T14:07:00Z</dcterms:modified>
</cp:coreProperties>
</file>