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146" w:rsidRPr="006A03B7" w:rsidRDefault="00BC2146" w:rsidP="00BC2146">
      <w:pPr>
        <w:pStyle w:val="Akti"/>
        <w:keepNext w:val="0"/>
        <w:rPr>
          <w:sz w:val="21"/>
          <w:szCs w:val="21"/>
          <w:lang w:eastAsia="ja-JP"/>
        </w:rPr>
      </w:pPr>
      <w:bookmarkStart w:id="0" w:name="_GoBack"/>
      <w:bookmarkEnd w:id="0"/>
      <w:r w:rsidRPr="006A03B7">
        <w:rPr>
          <w:sz w:val="21"/>
          <w:szCs w:val="21"/>
          <w:lang w:eastAsia="ja-JP"/>
        </w:rPr>
        <w:t>Vendim</w:t>
      </w:r>
    </w:p>
    <w:p w:rsidR="00BC2146" w:rsidRPr="006A03B7" w:rsidRDefault="00BC2146" w:rsidP="00BC2146">
      <w:pPr>
        <w:pStyle w:val="NumriData"/>
        <w:keepNext w:val="0"/>
        <w:rPr>
          <w:sz w:val="21"/>
          <w:szCs w:val="21"/>
          <w:lang w:eastAsia="ja-JP"/>
        </w:rPr>
      </w:pPr>
      <w:r w:rsidRPr="006A03B7">
        <w:rPr>
          <w:sz w:val="21"/>
          <w:szCs w:val="21"/>
          <w:lang w:eastAsia="ja-JP"/>
        </w:rPr>
        <w:t>Nr.350, datë 29.4.2011</w:t>
      </w:r>
    </w:p>
    <w:p w:rsidR="00BC2146" w:rsidRPr="006A03B7" w:rsidRDefault="00BC2146" w:rsidP="00BC2146">
      <w:pPr>
        <w:pStyle w:val="Paragrafi"/>
        <w:rPr>
          <w:sz w:val="21"/>
          <w:szCs w:val="21"/>
          <w:lang w:eastAsia="ja-JP"/>
        </w:rPr>
      </w:pPr>
    </w:p>
    <w:p w:rsidR="00BC2146" w:rsidRPr="006A03B7" w:rsidRDefault="00BC2146" w:rsidP="00BC2146">
      <w:pPr>
        <w:pStyle w:val="Titulli"/>
        <w:keepNext w:val="0"/>
        <w:rPr>
          <w:sz w:val="21"/>
          <w:szCs w:val="21"/>
          <w:lang w:eastAsia="ja-JP"/>
        </w:rPr>
      </w:pPr>
      <w:r w:rsidRPr="006A03B7">
        <w:rPr>
          <w:sz w:val="21"/>
          <w:szCs w:val="21"/>
          <w:lang w:eastAsia="ja-JP"/>
        </w:rPr>
        <w:t>Për miratimin e planveprimit për zgjidhjen e problematikës së çështjeve të pronësisë, e identifikuar në memorandumin e komitetit të ministrave të këshillit të europës</w:t>
      </w:r>
    </w:p>
    <w:p w:rsidR="00BC2146" w:rsidRPr="006A03B7" w:rsidRDefault="00BC2146" w:rsidP="00BC2146">
      <w:pPr>
        <w:pStyle w:val="Paragrafi"/>
        <w:rPr>
          <w:sz w:val="21"/>
          <w:szCs w:val="21"/>
          <w:lang w:eastAsia="ja-JP"/>
        </w:rPr>
      </w:pPr>
    </w:p>
    <w:p w:rsidR="00BC2146" w:rsidRPr="006A03B7" w:rsidRDefault="00BC2146" w:rsidP="00BC2146">
      <w:pPr>
        <w:pStyle w:val="Paragrafi"/>
        <w:rPr>
          <w:sz w:val="21"/>
          <w:szCs w:val="21"/>
          <w:lang w:eastAsia="ja-JP"/>
        </w:rPr>
      </w:pPr>
      <w:r w:rsidRPr="006A03B7">
        <w:rPr>
          <w:sz w:val="21"/>
          <w:szCs w:val="21"/>
          <w:lang w:eastAsia="ja-JP"/>
        </w:rPr>
        <w:t>Në mbështetje të nenit 100 të Kushtetutës dhe të nenit 46 të Konventës Europiane për të Drejtat e Njeriut e Memorandumit CH/Inf/DH (2010)20, datë 25 maj 2010 të Komitetit të Ministrave “Për masat strategjike të situatës së pronave në Shqipëri”, me propozimin e Ministrit të Drejtësisë, Këshilli i Ministrave</w:t>
      </w:r>
    </w:p>
    <w:p w:rsidR="00BC2146" w:rsidRPr="006A03B7" w:rsidRDefault="00BC2146" w:rsidP="00BC2146">
      <w:pPr>
        <w:pStyle w:val="Paragrafi"/>
        <w:rPr>
          <w:sz w:val="21"/>
          <w:szCs w:val="21"/>
          <w:lang w:eastAsia="ja-JP"/>
        </w:rPr>
      </w:pPr>
    </w:p>
    <w:p w:rsidR="00BC2146" w:rsidRPr="006A03B7" w:rsidRDefault="00BC2146" w:rsidP="00BC2146">
      <w:pPr>
        <w:pStyle w:val="VENDOSI"/>
        <w:keepNext w:val="0"/>
        <w:rPr>
          <w:sz w:val="21"/>
          <w:szCs w:val="21"/>
          <w:lang w:eastAsia="ja-JP"/>
        </w:rPr>
      </w:pPr>
      <w:r w:rsidRPr="006A03B7">
        <w:rPr>
          <w:sz w:val="21"/>
          <w:szCs w:val="21"/>
          <w:lang w:eastAsia="ja-JP"/>
        </w:rPr>
        <w:t>Vendosi:</w:t>
      </w:r>
    </w:p>
    <w:p w:rsidR="00BC2146" w:rsidRPr="006A03B7" w:rsidRDefault="00BC2146" w:rsidP="00BC2146">
      <w:pPr>
        <w:pStyle w:val="Paragrafi"/>
        <w:rPr>
          <w:sz w:val="21"/>
          <w:szCs w:val="21"/>
          <w:lang w:eastAsia="ja-JP"/>
        </w:rPr>
      </w:pPr>
    </w:p>
    <w:p w:rsidR="00BC2146" w:rsidRPr="006A03B7" w:rsidRDefault="00BC2146" w:rsidP="00BC2146">
      <w:pPr>
        <w:pStyle w:val="Paragrafi"/>
        <w:rPr>
          <w:sz w:val="21"/>
          <w:szCs w:val="21"/>
          <w:lang w:eastAsia="ja-JP"/>
        </w:rPr>
      </w:pPr>
      <w:r w:rsidRPr="006A03B7">
        <w:rPr>
          <w:sz w:val="21"/>
          <w:szCs w:val="21"/>
          <w:lang w:eastAsia="ja-JP"/>
        </w:rPr>
        <w:t>1. Miratimin e planveprimit për zgjidhjen e problematikës së çështjeve të pronësisë, e identifikuar në memorandumin e Komitetit të Ministrave të Këshillit të Europës, sipas tekstit që i bashkëlidhet këtij vendimi dhe është pjesë përbërëse e tij.</w:t>
      </w:r>
    </w:p>
    <w:p w:rsidR="00BC2146" w:rsidRPr="006A03B7" w:rsidRDefault="00BC2146" w:rsidP="00BC2146">
      <w:pPr>
        <w:pStyle w:val="Paragrafi"/>
        <w:rPr>
          <w:sz w:val="21"/>
          <w:szCs w:val="21"/>
          <w:lang w:eastAsia="ja-JP"/>
        </w:rPr>
      </w:pPr>
      <w:r w:rsidRPr="006A03B7">
        <w:rPr>
          <w:sz w:val="21"/>
          <w:szCs w:val="21"/>
          <w:lang w:eastAsia="ja-JP"/>
        </w:rPr>
        <w:t>2. Ngarkohen të gjitha institucionet shtetërore të përmendura në tekstin e planveprimit, për zbatimin e këtij vendimi.</w:t>
      </w:r>
    </w:p>
    <w:p w:rsidR="00BC2146" w:rsidRPr="006A03B7" w:rsidRDefault="00BC2146" w:rsidP="00BC2146">
      <w:pPr>
        <w:pStyle w:val="Paragrafi"/>
        <w:rPr>
          <w:sz w:val="21"/>
          <w:szCs w:val="21"/>
          <w:lang w:eastAsia="ja-JP"/>
        </w:rPr>
      </w:pPr>
      <w:r w:rsidRPr="006A03B7">
        <w:rPr>
          <w:sz w:val="21"/>
          <w:szCs w:val="21"/>
          <w:lang w:eastAsia="ja-JP"/>
        </w:rPr>
        <w:t>Ky vendim hyn në fuqi pas botimit në Fletoren Zyrtare.</w:t>
      </w:r>
    </w:p>
    <w:p w:rsidR="00BC2146" w:rsidRPr="006A03B7" w:rsidRDefault="00BC2146" w:rsidP="00BC2146">
      <w:pPr>
        <w:pStyle w:val="Autoriteti"/>
        <w:keepNext w:val="0"/>
        <w:rPr>
          <w:sz w:val="21"/>
          <w:szCs w:val="21"/>
        </w:rPr>
      </w:pPr>
      <w:r w:rsidRPr="006A03B7">
        <w:rPr>
          <w:sz w:val="21"/>
          <w:szCs w:val="21"/>
        </w:rPr>
        <w:t>Kryeministri</w:t>
      </w:r>
    </w:p>
    <w:p w:rsidR="00BC2146" w:rsidRPr="006A03B7" w:rsidRDefault="00BC2146" w:rsidP="00BC2146">
      <w:pPr>
        <w:pStyle w:val="AutoritetiEmer"/>
        <w:rPr>
          <w:sz w:val="21"/>
          <w:szCs w:val="21"/>
        </w:rPr>
      </w:pPr>
      <w:r w:rsidRPr="006A03B7">
        <w:rPr>
          <w:sz w:val="21"/>
          <w:szCs w:val="21"/>
        </w:rPr>
        <w:t>Sali Berisha</w:t>
      </w:r>
    </w:p>
    <w:p w:rsidR="00BC2146" w:rsidRDefault="00BC2146" w:rsidP="00BC2146">
      <w:pPr>
        <w:pStyle w:val="TitulliTitull"/>
        <w:keepNext w:val="0"/>
        <w:rPr>
          <w:rStyle w:val="TitulliChar"/>
          <w:sz w:val="21"/>
          <w:szCs w:val="21"/>
        </w:rPr>
      </w:pPr>
    </w:p>
    <w:p w:rsidR="00BC2146" w:rsidRDefault="00BC2146" w:rsidP="00BC2146">
      <w:pPr>
        <w:pStyle w:val="TitulliTitull"/>
        <w:keepNext w:val="0"/>
        <w:rPr>
          <w:rStyle w:val="TitulliChar"/>
          <w:sz w:val="21"/>
          <w:szCs w:val="21"/>
        </w:rPr>
      </w:pPr>
    </w:p>
    <w:p w:rsidR="00BC2146" w:rsidRPr="006A03B7" w:rsidRDefault="00BC2146" w:rsidP="00BC2146">
      <w:pPr>
        <w:pStyle w:val="TitulliTitull"/>
        <w:keepNext w:val="0"/>
        <w:rPr>
          <w:sz w:val="21"/>
          <w:szCs w:val="21"/>
          <w:lang w:eastAsia="ja-JP"/>
        </w:rPr>
      </w:pPr>
      <w:r w:rsidRPr="006A03B7">
        <w:rPr>
          <w:rStyle w:val="TitulliChar"/>
          <w:sz w:val="21"/>
          <w:szCs w:val="21"/>
        </w:rPr>
        <w:t>Planveprimi</w:t>
      </w:r>
      <w:r w:rsidRPr="006A03B7">
        <w:rPr>
          <w:sz w:val="21"/>
          <w:szCs w:val="21"/>
          <w:lang w:eastAsia="ja-JP"/>
        </w:rPr>
        <w:t xml:space="preserve"> </w:t>
      </w:r>
    </w:p>
    <w:p w:rsidR="00BC2146" w:rsidRPr="006A03B7" w:rsidRDefault="00BC2146" w:rsidP="00BC2146">
      <w:pPr>
        <w:pStyle w:val="TitulliTitull"/>
        <w:keepNext w:val="0"/>
        <w:rPr>
          <w:sz w:val="21"/>
          <w:szCs w:val="21"/>
          <w:lang w:eastAsia="ja-JP"/>
        </w:rPr>
      </w:pPr>
      <w:r w:rsidRPr="006A03B7">
        <w:rPr>
          <w:sz w:val="21"/>
          <w:szCs w:val="21"/>
          <w:lang w:eastAsia="ja-JP"/>
        </w:rPr>
        <w:t xml:space="preserve">për zgjidhjen e problematikës së çështjeve të pronësisë </w:t>
      </w:r>
      <w:smartTag w:uri="urn:schemas-microsoft-com:office:smarttags" w:element="place">
        <w:r w:rsidRPr="006A03B7">
          <w:rPr>
            <w:sz w:val="21"/>
            <w:szCs w:val="21"/>
            <w:lang w:eastAsia="ja-JP"/>
          </w:rPr>
          <w:t>para</w:t>
        </w:r>
      </w:smartTag>
      <w:r w:rsidRPr="006A03B7">
        <w:rPr>
          <w:sz w:val="21"/>
          <w:szCs w:val="21"/>
          <w:lang w:eastAsia="ja-JP"/>
        </w:rPr>
        <w:t xml:space="preserve"> gjykatës europiane për të drejtat e njeriut</w:t>
      </w:r>
    </w:p>
    <w:p w:rsidR="00BC2146" w:rsidRPr="006A03B7" w:rsidRDefault="00BC2146" w:rsidP="00BC2146">
      <w:pPr>
        <w:pStyle w:val="Paragrafi"/>
        <w:rPr>
          <w:sz w:val="21"/>
          <w:szCs w:val="21"/>
          <w:lang w:eastAsia="ja-JP"/>
        </w:rPr>
      </w:pPr>
      <w:r w:rsidRPr="006A03B7">
        <w:rPr>
          <w:sz w:val="21"/>
          <w:szCs w:val="21"/>
          <w:lang w:eastAsia="ja-JP"/>
        </w:rPr>
        <w:t>(Memorandumi CH/Inf/DH (2010)20, datë 25 maj 2010 i Komitetit të Ministrave të Këshillit të Europës për masat strategjike për situatën e pronave në Shqipëri)</w:t>
      </w:r>
    </w:p>
    <w:p w:rsidR="00BC2146" w:rsidRPr="006A03B7" w:rsidRDefault="00BC2146" w:rsidP="00BC2146">
      <w:pPr>
        <w:pStyle w:val="Paragrafi"/>
        <w:rPr>
          <w:sz w:val="21"/>
          <w:szCs w:val="21"/>
          <w:lang w:eastAsia="ja-JP"/>
        </w:rPr>
      </w:pPr>
    </w:p>
    <w:p w:rsidR="00BC2146" w:rsidRPr="006A03B7" w:rsidRDefault="00BC2146" w:rsidP="00BC2146">
      <w:pPr>
        <w:pStyle w:val="Paragrafi"/>
        <w:rPr>
          <w:sz w:val="21"/>
          <w:szCs w:val="21"/>
          <w:lang w:eastAsia="ja-JP"/>
        </w:rPr>
      </w:pPr>
      <w:r w:rsidRPr="006A03B7">
        <w:rPr>
          <w:sz w:val="21"/>
          <w:szCs w:val="21"/>
          <w:lang w:eastAsia="ja-JP"/>
        </w:rPr>
        <w:t>Duke pasur parasysh çështjet e identifikuara në Memorandumin CH/Inf/DH (2010)20, datë 25 maj 2010 të Komitetit të Ministrave të Këshillit të Europës, propozojnë të merren një sërë masash në funksion të zgjidhjes së problematikës së pronave në Shqipëri.</w:t>
      </w:r>
    </w:p>
    <w:p w:rsidR="00BC2146" w:rsidRPr="006A03B7" w:rsidRDefault="00BC2146" w:rsidP="00BC2146">
      <w:pPr>
        <w:pStyle w:val="Paragrafi"/>
        <w:rPr>
          <w:sz w:val="21"/>
          <w:szCs w:val="21"/>
          <w:lang w:eastAsia="ja-JP"/>
        </w:rPr>
      </w:pPr>
      <w:r w:rsidRPr="006A03B7">
        <w:rPr>
          <w:sz w:val="21"/>
          <w:szCs w:val="21"/>
          <w:lang w:eastAsia="ja-JP"/>
        </w:rPr>
        <w:t>Në kuadër të çështjeve që kanë si objekt pretendimet e ankuesve shtetas shqiptarë (grupi Driza) për mosekzekutimin e vendimeve gjyqësore të formës së prerë, që lidhen me të drejtat e ish- pronarëve për kthimin apo kompensimin e pronës në zbatim të ligjit nr.9235, datë 29.7.2004 “Për kthimin dhe kompensimin e pronave” është konstatuar se cenimi i së drejtës së pronës ndaj individëve shqiptarë ka ardhur si pasojë e pengesave dhe vështirësive për realizimin e procesit të kthimit dhe kompensimit të pronave.</w:t>
      </w:r>
    </w:p>
    <w:p w:rsidR="00BC2146" w:rsidRPr="006A03B7" w:rsidRDefault="00BC2146" w:rsidP="00BC2146">
      <w:pPr>
        <w:pStyle w:val="Paragrafi"/>
        <w:rPr>
          <w:sz w:val="21"/>
          <w:szCs w:val="21"/>
          <w:lang w:eastAsia="ja-JP"/>
        </w:rPr>
      </w:pPr>
      <w:r w:rsidRPr="006A03B7">
        <w:rPr>
          <w:sz w:val="21"/>
          <w:szCs w:val="21"/>
          <w:lang w:eastAsia="ja-JP"/>
        </w:rPr>
        <w:t xml:space="preserve">Gjykata Europiane në vendimet e saj për disa raste të përsëritura, ka konstatuar se mosekzekutimi i vendimeve gjyqësore të formës së prerë apo i vendimeve të komisioneve të pronave në kohë të cilat i konsideron si </w:t>
      </w:r>
      <w:r w:rsidRPr="006A03B7">
        <w:rPr>
          <w:i/>
          <w:sz w:val="21"/>
          <w:szCs w:val="21"/>
          <w:lang w:eastAsia="ja-JP"/>
        </w:rPr>
        <w:t>quasi</w:t>
      </w:r>
      <w:r w:rsidRPr="006A03B7">
        <w:rPr>
          <w:sz w:val="21"/>
          <w:szCs w:val="21"/>
          <w:lang w:eastAsia="ja-JP"/>
        </w:rPr>
        <w:t xml:space="preserve"> gjyqësore, cenon të drejtën e ankuesve për proces të rregullt ligjor sipas nenit 6 dhe të drejtën e pronës sipas nenit 1, protokolli 1 i Konventës Europiane. Gjykata ka vlerësuar, gjithashtu, se sistemi juridik </w:t>
      </w:r>
      <w:smartTag w:uri="urn:schemas-microsoft-com:office:smarttags" w:element="place">
        <w:smartTag w:uri="urn:schemas-microsoft-com:office:smarttags" w:element="country-region">
          <w:smartTag w:uri="urn:schemas-microsoft-com:office:smarttags" w:element="State">
            <w:r w:rsidRPr="006A03B7">
              <w:rPr>
                <w:sz w:val="21"/>
                <w:szCs w:val="21"/>
                <w:lang w:eastAsia="ja-JP"/>
              </w:rPr>
              <w:t>vendas</w:t>
            </w:r>
          </w:smartTag>
        </w:smartTag>
      </w:smartTag>
      <w:r w:rsidRPr="006A03B7">
        <w:rPr>
          <w:sz w:val="21"/>
          <w:szCs w:val="21"/>
          <w:lang w:eastAsia="ja-JP"/>
        </w:rPr>
        <w:t xml:space="preserve"> nuk ofron mjete ligjore efektive ankimi për adresimin e mosekzekutimit të vendimeve gjyqësore të formës së prerë, çfarë përbën cenim të së drejtës së ankuesve për mjete efektive ankimi sipas nenit 13 të Konventës.</w:t>
      </w:r>
    </w:p>
    <w:p w:rsidR="00BC2146" w:rsidRPr="006A03B7" w:rsidRDefault="00BC2146" w:rsidP="00BC2146">
      <w:pPr>
        <w:pStyle w:val="Paragrafi"/>
        <w:rPr>
          <w:sz w:val="21"/>
          <w:szCs w:val="21"/>
          <w:lang w:eastAsia="ja-JP"/>
        </w:rPr>
      </w:pPr>
      <w:r w:rsidRPr="006A03B7">
        <w:rPr>
          <w:sz w:val="21"/>
          <w:szCs w:val="21"/>
          <w:lang w:eastAsia="ja-JP"/>
        </w:rPr>
        <w:t>Mosekzekutimi i vendimeve të lartpërmendura ka ardhur si pasojë e problemeve dhe vështirësive që hasen:</w:t>
      </w:r>
    </w:p>
    <w:p w:rsidR="00BC2146" w:rsidRPr="006A03B7" w:rsidRDefault="00BC2146" w:rsidP="00BC2146">
      <w:pPr>
        <w:pStyle w:val="Paragrafi"/>
        <w:rPr>
          <w:sz w:val="21"/>
          <w:szCs w:val="21"/>
          <w:lang w:eastAsia="ja-JP"/>
        </w:rPr>
      </w:pPr>
      <w:r w:rsidRPr="006A03B7">
        <w:rPr>
          <w:sz w:val="21"/>
          <w:szCs w:val="21"/>
          <w:lang w:eastAsia="ja-JP"/>
        </w:rPr>
        <w:t>- Lidhur me zbatimin e ligjit nr.9235, datë 29.7.2004 “Për kthimin dhe kompensimin e pronave”;</w:t>
      </w:r>
    </w:p>
    <w:p w:rsidR="00BC2146" w:rsidRPr="006A03B7" w:rsidRDefault="00BC2146" w:rsidP="00BC2146">
      <w:pPr>
        <w:pStyle w:val="Paragrafi"/>
        <w:rPr>
          <w:sz w:val="21"/>
          <w:szCs w:val="21"/>
          <w:lang w:eastAsia="ja-JP"/>
        </w:rPr>
      </w:pPr>
      <w:r w:rsidRPr="006A03B7">
        <w:rPr>
          <w:sz w:val="21"/>
          <w:szCs w:val="21"/>
          <w:lang w:eastAsia="ja-JP"/>
        </w:rPr>
        <w:t>- Lidhur me procesin e regjistrimit të pronave;</w:t>
      </w:r>
    </w:p>
    <w:p w:rsidR="00BC2146" w:rsidRDefault="00BC2146" w:rsidP="00BC2146">
      <w:pPr>
        <w:pStyle w:val="Paragrafi"/>
        <w:rPr>
          <w:sz w:val="21"/>
          <w:szCs w:val="21"/>
          <w:lang w:eastAsia="ja-JP"/>
        </w:rPr>
      </w:pPr>
      <w:r w:rsidRPr="006A03B7">
        <w:rPr>
          <w:sz w:val="21"/>
          <w:szCs w:val="21"/>
          <w:lang w:eastAsia="ja-JP"/>
        </w:rPr>
        <w:t>- Lidhur me sigurimin e mjeteve juridike efektive në rastet e mosekzekutimit të vendimeve përfundimtare gjyqësore.</w:t>
      </w:r>
    </w:p>
    <w:p w:rsidR="00BC2146" w:rsidRDefault="00BC2146" w:rsidP="00BC2146">
      <w:pPr>
        <w:pStyle w:val="Paragrafi"/>
        <w:rPr>
          <w:sz w:val="21"/>
          <w:szCs w:val="21"/>
          <w:lang w:eastAsia="ja-JP"/>
        </w:rPr>
      </w:pPr>
    </w:p>
    <w:p w:rsidR="00BC2146" w:rsidRPr="006A03B7" w:rsidRDefault="00BC2146" w:rsidP="00BC2146">
      <w:pPr>
        <w:pStyle w:val="Paragrafi"/>
        <w:rPr>
          <w:sz w:val="21"/>
          <w:szCs w:val="21"/>
          <w:lang w:eastAsia="ja-JP"/>
        </w:rPr>
      </w:pPr>
    </w:p>
    <w:p w:rsidR="00BC2146" w:rsidRPr="006A03B7" w:rsidRDefault="00BC2146" w:rsidP="00BC2146">
      <w:pPr>
        <w:pStyle w:val="Paragrafi"/>
        <w:rPr>
          <w:sz w:val="21"/>
          <w:szCs w:val="21"/>
          <w:lang w:eastAsia="ja-JP"/>
        </w:rPr>
      </w:pPr>
      <w:r w:rsidRPr="006A03B7">
        <w:rPr>
          <w:sz w:val="21"/>
          <w:szCs w:val="21"/>
          <w:lang w:eastAsia="ja-JP"/>
        </w:rPr>
        <w:t>Më konkretisht, problematikat e ndeshura kanë të bëjnë me mungesën e koordinimit ndërinstitucional në qarkullimin e dokumentacionit dhe në ndërveprimin e arkivave të secilit prej tyre, si dhe të proceseve të ndryshme që prekin pronat. Kuadri ligjor për pronat paraqitet mjaft i fragmentuar dhe ka nevojë të konsolidohet dhe të thjeshtohet për të përcaktuar procedura të thjeshta dhe transparente kompensimi. Gjithashtu, nuk ka përfunduar procesi i regjistrimit fillestar i pasurive të paluajtshme në të gjithë territorin e vendit. Aktualisht mungon një hartë kombëtare unike e pronësisë. AKKP-ja nuk ka bazë elektronike unike të dhënash për vendimet, të cilat në vetvete nuk janë të përditësuara, kryesisht në drejtim të ndryshimeve që mund të kenë pësuar në rrugë gjyqësore. Nuk ka përfunduar procesi i legalizimeve për aplikimet e mbetura, si dhe nuk ka përfunduar identifikimi i fondit fizik të pronave që do të shërbejnë për procesin e kompensimit fizik.</w:t>
      </w:r>
    </w:p>
    <w:p w:rsidR="00BC2146" w:rsidRPr="006A03B7" w:rsidRDefault="00BC2146" w:rsidP="00BC2146">
      <w:pPr>
        <w:pStyle w:val="Paragrafi"/>
        <w:rPr>
          <w:sz w:val="21"/>
          <w:szCs w:val="21"/>
          <w:lang w:eastAsia="ja-JP"/>
        </w:rPr>
      </w:pPr>
      <w:r w:rsidRPr="006A03B7">
        <w:rPr>
          <w:sz w:val="21"/>
          <w:szCs w:val="21"/>
          <w:lang w:eastAsia="ja-JP"/>
        </w:rPr>
        <w:t>Përgjithësisht, për zgjidhjen e problematikës së identifikuar në memorandum</w:t>
      </w:r>
      <w:r>
        <w:rPr>
          <w:sz w:val="21"/>
          <w:szCs w:val="21"/>
          <w:lang w:eastAsia="ja-JP"/>
        </w:rPr>
        <w:t>,</w:t>
      </w:r>
      <w:r w:rsidRPr="006A03B7">
        <w:rPr>
          <w:sz w:val="21"/>
          <w:szCs w:val="21"/>
          <w:lang w:eastAsia="ja-JP"/>
        </w:rPr>
        <w:t xml:space="preserve"> pala shqiptare shpreh vullnetin që masa e kompensimit të jetë 100%, duke pasur parasysh pritshmërinë e ligjshme të pronarëve për vite me radhë në këtë drejtim.</w:t>
      </w:r>
    </w:p>
    <w:p w:rsidR="00BC2146" w:rsidRPr="006A03B7" w:rsidRDefault="00BC2146" w:rsidP="00BC2146">
      <w:pPr>
        <w:pStyle w:val="Paragrafi"/>
        <w:rPr>
          <w:sz w:val="21"/>
          <w:szCs w:val="21"/>
          <w:lang w:eastAsia="ja-JP"/>
        </w:rPr>
      </w:pPr>
      <w:r w:rsidRPr="006A03B7">
        <w:rPr>
          <w:sz w:val="21"/>
          <w:szCs w:val="21"/>
          <w:lang w:eastAsia="ja-JP"/>
        </w:rPr>
        <w:t>Skema e kompensimit është menduar e ndarë në dy pjesë: i) skema kalimtare për vitin 2010</w:t>
      </w:r>
      <w:r>
        <w:rPr>
          <w:sz w:val="21"/>
          <w:szCs w:val="21"/>
          <w:lang w:eastAsia="ja-JP"/>
        </w:rPr>
        <w:t>,</w:t>
      </w:r>
      <w:r w:rsidRPr="006A03B7">
        <w:rPr>
          <w:sz w:val="21"/>
          <w:szCs w:val="21"/>
          <w:lang w:eastAsia="ja-JP"/>
        </w:rPr>
        <w:t xml:space="preserve"> duke reflektuar problematikën më kryesore të identifikuar nga GJEDNJ; dhe ii) skema definitive</w:t>
      </w:r>
      <w:r>
        <w:rPr>
          <w:sz w:val="21"/>
          <w:szCs w:val="21"/>
          <w:lang w:eastAsia="ja-JP"/>
        </w:rPr>
        <w:t>,</w:t>
      </w:r>
      <w:r w:rsidRPr="006A03B7">
        <w:rPr>
          <w:sz w:val="21"/>
          <w:szCs w:val="21"/>
          <w:lang w:eastAsia="ja-JP"/>
        </w:rPr>
        <w:t xml:space="preserve"> që përfundimisht do të ofrojë një skemë të drejtë dhe të barabartë për të gjithë ish-pronarët. Informacion më i detajuar për secilën skemë jepet në vijim.</w:t>
      </w:r>
    </w:p>
    <w:p w:rsidR="00BC2146" w:rsidRPr="006A03B7" w:rsidRDefault="00BC2146" w:rsidP="00BC2146">
      <w:pPr>
        <w:pStyle w:val="Paragrafi"/>
        <w:rPr>
          <w:sz w:val="21"/>
          <w:szCs w:val="21"/>
          <w:lang w:eastAsia="ja-JP"/>
        </w:rPr>
      </w:pPr>
      <w:r w:rsidRPr="006A03B7">
        <w:rPr>
          <w:sz w:val="21"/>
          <w:szCs w:val="21"/>
          <w:lang w:eastAsia="ja-JP"/>
        </w:rPr>
        <w:t>Në funksion të implementimit të skemës definitive (duke filluar nga janari 2013), më parë parashikohen të ndërmerren disa masa të tjera paraprake, siç trajtohen më poshtë.</w:t>
      </w:r>
    </w:p>
    <w:p w:rsidR="00BC2146" w:rsidRPr="006A03B7" w:rsidRDefault="00BC2146" w:rsidP="00BC2146">
      <w:pPr>
        <w:pStyle w:val="Paragrafi"/>
        <w:rPr>
          <w:sz w:val="21"/>
          <w:szCs w:val="21"/>
          <w:lang w:eastAsia="ja-JP"/>
        </w:rPr>
      </w:pPr>
      <w:r w:rsidRPr="006A03B7">
        <w:rPr>
          <w:sz w:val="21"/>
          <w:szCs w:val="21"/>
          <w:lang w:eastAsia="ja-JP"/>
        </w:rPr>
        <w:t>Gjithashtu, u konsiderua e drejtë që kompensimi të mos ndërpritej. Kjo pasi do të cenoheshin pritshmëritë e ligjshme të ish-pronarëve, të cilët janë në pritje të kompensimit prej vitesh. Për më tepër, duhet pasur parasysh që procesi i kompensimit financiar ka filluar relativisht vonë, vetëm në vitin 2005. Rrjedhimisht, ka shumë ish-pronarë në pritje të kompensimit nga viti 1993 deri në 2005-ën.</w:t>
      </w:r>
    </w:p>
    <w:p w:rsidR="00BC2146" w:rsidRPr="006A03B7" w:rsidRDefault="00BC2146" w:rsidP="00BC2146">
      <w:pPr>
        <w:pStyle w:val="Paragrafi"/>
        <w:rPr>
          <w:sz w:val="21"/>
          <w:szCs w:val="21"/>
          <w:lang w:eastAsia="ja-JP"/>
        </w:rPr>
      </w:pPr>
      <w:r w:rsidRPr="006A03B7">
        <w:rPr>
          <w:sz w:val="21"/>
          <w:szCs w:val="21"/>
          <w:lang w:eastAsia="ja-JP"/>
        </w:rPr>
        <w:t>Lidhur me numrin e saktë të subjekteve që kanë vendime kompensimi dhe përcaktimin e faturës financiare për këtë proces, sqarojmë se kjo do të bëhet e mundur pasi të regjistrohen të gjithë ish-pronarët në bazën elektronike të të dhënave që pritet të ngrihet, siç parashikohet në planveprim.</w:t>
      </w:r>
    </w:p>
    <w:p w:rsidR="00BC2146" w:rsidRPr="006A03B7" w:rsidRDefault="00BC2146" w:rsidP="00BC2146">
      <w:pPr>
        <w:pStyle w:val="Paragrafi"/>
        <w:rPr>
          <w:sz w:val="21"/>
          <w:szCs w:val="21"/>
          <w:lang w:eastAsia="ja-JP"/>
        </w:rPr>
      </w:pPr>
      <w:r w:rsidRPr="006A03B7">
        <w:rPr>
          <w:sz w:val="21"/>
          <w:szCs w:val="21"/>
          <w:lang w:eastAsia="ja-JP"/>
        </w:rPr>
        <w:t>Më poshtë, prezantohen pikërisht masat konkrete që propozohen të merren.</w:t>
      </w:r>
    </w:p>
    <w:p w:rsidR="00BC2146" w:rsidRPr="006A03B7" w:rsidRDefault="00BC2146" w:rsidP="00BC2146">
      <w:pPr>
        <w:pStyle w:val="Paragrafi"/>
        <w:rPr>
          <w:sz w:val="21"/>
          <w:szCs w:val="21"/>
          <w:lang w:eastAsia="ja-JP"/>
        </w:rPr>
      </w:pPr>
      <w:r w:rsidRPr="006A03B7">
        <w:rPr>
          <w:sz w:val="21"/>
          <w:szCs w:val="21"/>
          <w:lang w:eastAsia="ja-JP"/>
        </w:rPr>
        <w:t>A. Masa të përgjithshme lidhur me çështjet e pronësisë</w:t>
      </w:r>
    </w:p>
    <w:p w:rsidR="00BC2146" w:rsidRPr="006A03B7" w:rsidRDefault="00BC2146" w:rsidP="00BC2146">
      <w:pPr>
        <w:pStyle w:val="Paragrafi"/>
        <w:rPr>
          <w:sz w:val="21"/>
          <w:szCs w:val="21"/>
          <w:lang w:eastAsia="ja-JP"/>
        </w:rPr>
      </w:pPr>
      <w:r w:rsidRPr="006A03B7">
        <w:rPr>
          <w:sz w:val="21"/>
          <w:szCs w:val="21"/>
          <w:lang w:eastAsia="ja-JP"/>
        </w:rPr>
        <w:t>1. Skema e kompensimit</w:t>
      </w:r>
    </w:p>
    <w:p w:rsidR="00BC2146" w:rsidRPr="006A03B7" w:rsidRDefault="00BC2146" w:rsidP="00BC2146">
      <w:pPr>
        <w:pStyle w:val="Paragrafi"/>
        <w:rPr>
          <w:sz w:val="21"/>
          <w:szCs w:val="21"/>
          <w:lang w:eastAsia="ja-JP"/>
        </w:rPr>
      </w:pPr>
      <w:r w:rsidRPr="006A03B7">
        <w:rPr>
          <w:sz w:val="21"/>
          <w:szCs w:val="21"/>
          <w:lang w:eastAsia="ja-JP"/>
        </w:rPr>
        <w:t>1.1 Skema kalimtare për vitin 2011</w:t>
      </w:r>
    </w:p>
    <w:p w:rsidR="00BC2146" w:rsidRPr="006A03B7" w:rsidRDefault="00BC2146" w:rsidP="00BC2146">
      <w:pPr>
        <w:pStyle w:val="Paragrafi"/>
        <w:rPr>
          <w:sz w:val="21"/>
          <w:szCs w:val="21"/>
          <w:lang w:eastAsia="ja-JP"/>
        </w:rPr>
      </w:pPr>
      <w:r w:rsidRPr="006A03B7">
        <w:rPr>
          <w:sz w:val="21"/>
          <w:szCs w:val="21"/>
          <w:lang w:eastAsia="ja-JP"/>
        </w:rPr>
        <w:t>Në mars 2011 është miratuar një vendim i Këshillit të Ministrave që parashikon një skemë të thjeshtuar dhe të drejtë për kompensimin e subjekteve. Vendimi në fjalë ka hyrë në fuqi dhe për një periudhë njëmujore është hapur faza e pritjes së aplikimeve për kompensim. Më pas, njësoj si në vitet paraardhëse, të gjitha aplikimet do të përpunohen dhe do të dilet me vendim brenda një periudhe tremujore. Skema e re është konceptuar të marrë parasysh praktikën gjyqësore të GJEDNJ-së për Shqipërinë, veçanërisht respektimin e parimeve të barazisë dhe të drejtësisë.</w:t>
      </w:r>
    </w:p>
    <w:p w:rsidR="00BC2146" w:rsidRPr="006A03B7" w:rsidRDefault="00BC2146" w:rsidP="00BC2146">
      <w:pPr>
        <w:pStyle w:val="Paragrafi"/>
        <w:rPr>
          <w:sz w:val="21"/>
          <w:szCs w:val="21"/>
          <w:lang w:eastAsia="ja-JP"/>
        </w:rPr>
      </w:pPr>
      <w:r w:rsidRPr="006A03B7">
        <w:rPr>
          <w:sz w:val="21"/>
          <w:szCs w:val="21"/>
          <w:lang w:eastAsia="ja-JP"/>
        </w:rPr>
        <w:t>Së pari, vendimi në fjalë nuk parashikon më kufizimet që ekzistonin në vendimet e Këshillit të Ministrave të viteve të kaluara lidhur me subjektet, të cilat mund të aplikonin për kompensim. Çdo subjekt i shpronësuar që ka një vendim kompensimi ka të drejtë të aplikojë për të përfituar nga fondi i kompensimit që është gjendje, përveç atyre që kanë përfituar kompensim monetar në vitet e kaluara.</w:t>
      </w:r>
    </w:p>
    <w:p w:rsidR="00BC2146" w:rsidRPr="006A03B7" w:rsidRDefault="00BC2146" w:rsidP="00BC2146">
      <w:pPr>
        <w:pStyle w:val="Paragrafi"/>
        <w:rPr>
          <w:sz w:val="21"/>
          <w:szCs w:val="21"/>
          <w:lang w:eastAsia="ja-JP"/>
        </w:rPr>
      </w:pPr>
      <w:r w:rsidRPr="006A03B7">
        <w:rPr>
          <w:sz w:val="21"/>
          <w:szCs w:val="21"/>
          <w:lang w:eastAsia="ja-JP"/>
        </w:rPr>
        <w:t>Gjithashtu, kriteri për kompensim me vlerën e sipërfaqes fikse prej 200 m</w:t>
      </w:r>
      <w:r w:rsidRPr="006A03B7">
        <w:rPr>
          <w:sz w:val="21"/>
          <w:szCs w:val="21"/>
          <w:vertAlign w:val="superscript"/>
          <w:lang w:eastAsia="ja-JP"/>
        </w:rPr>
        <w:t>2</w:t>
      </w:r>
      <w:r w:rsidRPr="006A03B7">
        <w:rPr>
          <w:sz w:val="21"/>
          <w:szCs w:val="21"/>
          <w:lang w:eastAsia="ja-JP"/>
        </w:rPr>
        <w:t xml:space="preserve"> është zëvendësuar. Sipërfaqja për kompensim (vlera monetare) është në vartësi të sipërfaqes totale të njohur sipas disa fushave. Më konkretisht kompensimi do të përfitohet, në rend kronologjik, në varësi të sipërfaqes së njohur për kompensim:</w:t>
      </w:r>
    </w:p>
    <w:p w:rsidR="00BC2146" w:rsidRPr="006A03B7" w:rsidRDefault="00BC2146" w:rsidP="00BC2146">
      <w:pPr>
        <w:pStyle w:val="Paragrafi"/>
        <w:rPr>
          <w:sz w:val="21"/>
          <w:szCs w:val="21"/>
          <w:lang w:eastAsia="ja-JP"/>
        </w:rPr>
      </w:pPr>
      <w:r w:rsidRPr="006A03B7">
        <w:rPr>
          <w:sz w:val="21"/>
          <w:szCs w:val="21"/>
          <w:lang w:eastAsia="ja-JP"/>
        </w:rPr>
        <w:t>a) Për prona të njohura për kompensim deri në 1 500 m</w:t>
      </w:r>
      <w:r w:rsidRPr="006A03B7">
        <w:rPr>
          <w:sz w:val="21"/>
          <w:szCs w:val="21"/>
          <w:vertAlign w:val="superscript"/>
          <w:lang w:eastAsia="ja-JP"/>
        </w:rPr>
        <w:t>2</w:t>
      </w:r>
      <w:r w:rsidRPr="006A03B7">
        <w:rPr>
          <w:sz w:val="21"/>
          <w:szCs w:val="21"/>
          <w:lang w:eastAsia="ja-JP"/>
        </w:rPr>
        <w:t>, masa e kompensimit do të jetë 200 m</w:t>
      </w:r>
      <w:r w:rsidRPr="006A03B7">
        <w:rPr>
          <w:sz w:val="21"/>
          <w:szCs w:val="21"/>
          <w:vertAlign w:val="superscript"/>
          <w:lang w:eastAsia="ja-JP"/>
        </w:rPr>
        <w:t>2</w:t>
      </w:r>
      <w:r w:rsidRPr="006A03B7">
        <w:rPr>
          <w:sz w:val="21"/>
          <w:szCs w:val="21"/>
          <w:lang w:eastAsia="ja-JP"/>
        </w:rPr>
        <w:t>.</w:t>
      </w:r>
    </w:p>
    <w:p w:rsidR="00BC2146" w:rsidRPr="006A03B7" w:rsidRDefault="00BC2146" w:rsidP="00BC2146">
      <w:pPr>
        <w:pStyle w:val="Paragrafi"/>
        <w:rPr>
          <w:sz w:val="21"/>
          <w:szCs w:val="21"/>
          <w:lang w:eastAsia="ja-JP"/>
        </w:rPr>
      </w:pPr>
      <w:r w:rsidRPr="006A03B7">
        <w:rPr>
          <w:sz w:val="21"/>
          <w:szCs w:val="21"/>
          <w:lang w:eastAsia="ja-JP"/>
        </w:rPr>
        <w:t>b) Për prona të njohura për kompensim nga 1500 m</w:t>
      </w:r>
      <w:r w:rsidRPr="006A03B7">
        <w:rPr>
          <w:sz w:val="21"/>
          <w:szCs w:val="21"/>
          <w:vertAlign w:val="superscript"/>
          <w:lang w:eastAsia="ja-JP"/>
        </w:rPr>
        <w:t>2</w:t>
      </w:r>
      <w:r w:rsidRPr="006A03B7">
        <w:rPr>
          <w:sz w:val="21"/>
          <w:szCs w:val="21"/>
          <w:lang w:eastAsia="ja-JP"/>
        </w:rPr>
        <w:t>-3000 m</w:t>
      </w:r>
      <w:r w:rsidRPr="006A03B7">
        <w:rPr>
          <w:sz w:val="21"/>
          <w:szCs w:val="21"/>
          <w:vertAlign w:val="superscript"/>
          <w:lang w:eastAsia="ja-JP"/>
        </w:rPr>
        <w:t>2</w:t>
      </w:r>
      <w:r w:rsidRPr="006A03B7">
        <w:rPr>
          <w:sz w:val="21"/>
          <w:szCs w:val="21"/>
          <w:lang w:eastAsia="ja-JP"/>
        </w:rPr>
        <w:t>, masa e kompensimit do të jetë 300 m</w:t>
      </w:r>
      <w:r w:rsidRPr="006A03B7">
        <w:rPr>
          <w:sz w:val="21"/>
          <w:szCs w:val="21"/>
          <w:vertAlign w:val="superscript"/>
          <w:lang w:eastAsia="ja-JP"/>
        </w:rPr>
        <w:t>2</w:t>
      </w:r>
      <w:r w:rsidRPr="006A03B7">
        <w:rPr>
          <w:sz w:val="21"/>
          <w:szCs w:val="21"/>
          <w:lang w:eastAsia="ja-JP"/>
        </w:rPr>
        <w:t>.</w:t>
      </w:r>
    </w:p>
    <w:p w:rsidR="00BC2146" w:rsidRPr="006A03B7" w:rsidRDefault="00BC2146" w:rsidP="00BC2146">
      <w:pPr>
        <w:pStyle w:val="Paragrafi"/>
        <w:rPr>
          <w:sz w:val="21"/>
          <w:szCs w:val="21"/>
          <w:lang w:eastAsia="ja-JP"/>
        </w:rPr>
      </w:pPr>
      <w:r w:rsidRPr="006A03B7">
        <w:rPr>
          <w:sz w:val="21"/>
          <w:szCs w:val="21"/>
          <w:lang w:eastAsia="ja-JP"/>
        </w:rPr>
        <w:t>c) Për prona të njohura për kompensim nga 3000 m</w:t>
      </w:r>
      <w:r w:rsidRPr="006A03B7">
        <w:rPr>
          <w:sz w:val="21"/>
          <w:szCs w:val="21"/>
          <w:vertAlign w:val="superscript"/>
          <w:lang w:eastAsia="ja-JP"/>
        </w:rPr>
        <w:t>2</w:t>
      </w:r>
      <w:r w:rsidRPr="006A03B7">
        <w:rPr>
          <w:sz w:val="21"/>
          <w:szCs w:val="21"/>
          <w:lang w:eastAsia="ja-JP"/>
        </w:rPr>
        <w:t>-5000 m</w:t>
      </w:r>
      <w:r w:rsidRPr="006A03B7">
        <w:rPr>
          <w:sz w:val="21"/>
          <w:szCs w:val="21"/>
          <w:vertAlign w:val="superscript"/>
          <w:lang w:eastAsia="ja-JP"/>
        </w:rPr>
        <w:t>2</w:t>
      </w:r>
      <w:r w:rsidRPr="006A03B7">
        <w:rPr>
          <w:sz w:val="21"/>
          <w:szCs w:val="21"/>
          <w:lang w:eastAsia="ja-JP"/>
        </w:rPr>
        <w:t>, masa e kompensimit do të jetë 400 m</w:t>
      </w:r>
      <w:r w:rsidRPr="006A03B7">
        <w:rPr>
          <w:sz w:val="21"/>
          <w:szCs w:val="21"/>
          <w:vertAlign w:val="superscript"/>
          <w:lang w:eastAsia="ja-JP"/>
        </w:rPr>
        <w:t>2</w:t>
      </w:r>
      <w:r w:rsidRPr="006A03B7">
        <w:rPr>
          <w:sz w:val="21"/>
          <w:szCs w:val="21"/>
          <w:lang w:eastAsia="ja-JP"/>
        </w:rPr>
        <w:t>.</w:t>
      </w:r>
    </w:p>
    <w:p w:rsidR="00BC2146" w:rsidRPr="006A03B7" w:rsidRDefault="00BC2146" w:rsidP="00BC2146">
      <w:pPr>
        <w:pStyle w:val="Paragrafi"/>
        <w:rPr>
          <w:sz w:val="21"/>
          <w:szCs w:val="21"/>
          <w:lang w:eastAsia="ja-JP"/>
        </w:rPr>
      </w:pPr>
      <w:r w:rsidRPr="006A03B7">
        <w:rPr>
          <w:sz w:val="21"/>
          <w:szCs w:val="21"/>
          <w:lang w:eastAsia="ja-JP"/>
        </w:rPr>
        <w:lastRenderedPageBreak/>
        <w:t>d) Për prona të njohura për kompensim nga 5000 m</w:t>
      </w:r>
      <w:r w:rsidRPr="006A03B7">
        <w:rPr>
          <w:sz w:val="21"/>
          <w:szCs w:val="21"/>
          <w:vertAlign w:val="superscript"/>
          <w:lang w:eastAsia="ja-JP"/>
        </w:rPr>
        <w:t>2</w:t>
      </w:r>
      <w:r w:rsidRPr="006A03B7">
        <w:rPr>
          <w:sz w:val="21"/>
          <w:szCs w:val="21"/>
          <w:lang w:eastAsia="ja-JP"/>
        </w:rPr>
        <w:t>-10 000 m</w:t>
      </w:r>
      <w:r w:rsidRPr="006A03B7">
        <w:rPr>
          <w:sz w:val="21"/>
          <w:szCs w:val="21"/>
          <w:vertAlign w:val="superscript"/>
          <w:lang w:eastAsia="ja-JP"/>
        </w:rPr>
        <w:t>2</w:t>
      </w:r>
      <w:r w:rsidRPr="006A03B7">
        <w:rPr>
          <w:sz w:val="21"/>
          <w:szCs w:val="21"/>
          <w:lang w:eastAsia="ja-JP"/>
        </w:rPr>
        <w:t>, masa e kompensimit do të jetë 500 m</w:t>
      </w:r>
      <w:r w:rsidRPr="006A03B7">
        <w:rPr>
          <w:sz w:val="21"/>
          <w:szCs w:val="21"/>
          <w:vertAlign w:val="superscript"/>
          <w:lang w:eastAsia="ja-JP"/>
        </w:rPr>
        <w:t>2</w:t>
      </w:r>
      <w:r w:rsidRPr="006A03B7">
        <w:rPr>
          <w:sz w:val="21"/>
          <w:szCs w:val="21"/>
          <w:lang w:eastAsia="ja-JP"/>
        </w:rPr>
        <w:t>.</w:t>
      </w:r>
    </w:p>
    <w:p w:rsidR="00BC2146" w:rsidRPr="006A03B7" w:rsidRDefault="00BC2146" w:rsidP="00BC2146">
      <w:pPr>
        <w:pStyle w:val="Paragrafi"/>
        <w:rPr>
          <w:sz w:val="21"/>
          <w:szCs w:val="21"/>
          <w:lang w:eastAsia="ja-JP"/>
        </w:rPr>
      </w:pPr>
      <w:r w:rsidRPr="006A03B7">
        <w:rPr>
          <w:sz w:val="21"/>
          <w:szCs w:val="21"/>
          <w:lang w:eastAsia="ja-JP"/>
        </w:rPr>
        <w:t>e) Për prona të njohura për kompensim mbi 10 000 m</w:t>
      </w:r>
      <w:r w:rsidRPr="006A03B7">
        <w:rPr>
          <w:sz w:val="21"/>
          <w:szCs w:val="21"/>
          <w:vertAlign w:val="superscript"/>
          <w:lang w:eastAsia="ja-JP"/>
        </w:rPr>
        <w:t>2</w:t>
      </w:r>
      <w:r w:rsidRPr="006A03B7">
        <w:rPr>
          <w:sz w:val="21"/>
          <w:szCs w:val="21"/>
          <w:lang w:eastAsia="ja-JP"/>
        </w:rPr>
        <w:t>, masa e kompensimit do të jetë 600 m</w:t>
      </w:r>
      <w:r w:rsidRPr="006A03B7">
        <w:rPr>
          <w:sz w:val="21"/>
          <w:szCs w:val="21"/>
          <w:vertAlign w:val="superscript"/>
          <w:lang w:eastAsia="ja-JP"/>
        </w:rPr>
        <w:t>2</w:t>
      </w:r>
      <w:r w:rsidRPr="006A03B7">
        <w:rPr>
          <w:sz w:val="21"/>
          <w:szCs w:val="21"/>
          <w:lang w:eastAsia="ja-JP"/>
        </w:rPr>
        <w:t>.</w:t>
      </w:r>
    </w:p>
    <w:p w:rsidR="00BC2146" w:rsidRPr="006A03B7" w:rsidRDefault="00BC2146" w:rsidP="00BC2146">
      <w:pPr>
        <w:pStyle w:val="Paragrafi"/>
        <w:rPr>
          <w:sz w:val="21"/>
          <w:szCs w:val="21"/>
          <w:lang w:eastAsia="ja-JP"/>
        </w:rPr>
      </w:pPr>
      <w:r w:rsidRPr="006A03B7">
        <w:rPr>
          <w:sz w:val="21"/>
          <w:szCs w:val="21"/>
          <w:lang w:eastAsia="ja-JP"/>
        </w:rPr>
        <w:t>Skema e re synon arritjen e një balancimi proporcional mes pronarëve. Kjo skemë kompensimi me breza synon korrigjimin e disa problemeve që hasen në praktikë. Në praktikë mund të ndodhë, nëse do të zbatohet një skemë kompensimi e pastër me përqindje fikse, që një ish-pronar që disponon një vendim kompensimi për një pronë të vogël të marrë një shumë të papërfillshme kompensimi për shkak të vlerës së ulët që mund të ketë prona e tij. Nga ana tjetër, mund të ndodhë që pak ish-pronarë që kanë vendime për kompensim në zona ku prona ka vlerë të lartë të shterojnë të gjithë fondin financiar në dispozicion. Duke pasur parasysh këto raste, synohet që të përfitojë një numër i arsyeshëm pronarësh dhe secili prej tyre të marrë një shumë të arsyeshme kompensimi.</w:t>
      </w:r>
    </w:p>
    <w:p w:rsidR="00BC2146" w:rsidRPr="006A03B7" w:rsidRDefault="00BC2146" w:rsidP="00BC2146">
      <w:pPr>
        <w:pStyle w:val="Paragrafi"/>
        <w:rPr>
          <w:sz w:val="21"/>
          <w:szCs w:val="21"/>
          <w:lang w:eastAsia="ja-JP"/>
        </w:rPr>
      </w:pPr>
      <w:r w:rsidRPr="006A03B7">
        <w:rPr>
          <w:sz w:val="21"/>
          <w:szCs w:val="21"/>
          <w:lang w:eastAsia="ja-JP"/>
        </w:rPr>
        <w:t>Gjithsesi, sa më sipër është në skemë kalimtare kompensimi, e cila do të zëvendësohet nga skema definitive, sipas kriterit me përqindje i korrigjuar, siç përshkruhet në vija të përgjithshme më poshtë.</w:t>
      </w:r>
    </w:p>
    <w:p w:rsidR="00BC2146" w:rsidRPr="006A03B7" w:rsidRDefault="00BC2146" w:rsidP="00BC2146">
      <w:pPr>
        <w:pStyle w:val="Paragrafi"/>
        <w:rPr>
          <w:sz w:val="21"/>
          <w:szCs w:val="21"/>
          <w:lang w:eastAsia="ja-JP"/>
        </w:rPr>
      </w:pPr>
      <w:r w:rsidRPr="006A03B7">
        <w:rPr>
          <w:sz w:val="21"/>
          <w:szCs w:val="21"/>
          <w:lang w:eastAsia="ja-JP"/>
        </w:rPr>
        <w:t>1.2 Skema definitive</w:t>
      </w:r>
    </w:p>
    <w:p w:rsidR="00BC2146" w:rsidRPr="006A03B7" w:rsidRDefault="00BC2146" w:rsidP="00BC2146">
      <w:pPr>
        <w:pStyle w:val="Paragrafi"/>
        <w:rPr>
          <w:sz w:val="21"/>
          <w:szCs w:val="21"/>
          <w:lang w:eastAsia="ja-JP"/>
        </w:rPr>
      </w:pPr>
      <w:r w:rsidRPr="006A03B7">
        <w:rPr>
          <w:sz w:val="21"/>
          <w:szCs w:val="21"/>
          <w:lang w:eastAsia="ja-JP"/>
        </w:rPr>
        <w:t>Skema e re ligjore për kompensim do të fillojë të operojë në janar të vitit 2013. Deri në këtë moment besohet se shteti shqiptar do të ketë informacion për numrin e subjekteve që kërkojnë kompensim dhe një faturë totale financiare për këtë proces.</w:t>
      </w:r>
    </w:p>
    <w:p w:rsidR="00BC2146" w:rsidRPr="006A03B7" w:rsidRDefault="00BC2146" w:rsidP="00BC2146">
      <w:pPr>
        <w:pStyle w:val="Paragrafi"/>
        <w:rPr>
          <w:sz w:val="21"/>
          <w:szCs w:val="21"/>
          <w:lang w:eastAsia="ja-JP"/>
        </w:rPr>
      </w:pPr>
      <w:r w:rsidRPr="006A03B7">
        <w:rPr>
          <w:sz w:val="21"/>
          <w:szCs w:val="21"/>
          <w:lang w:eastAsia="ja-JP"/>
        </w:rPr>
        <w:t>Më tej, kjo skemë do të operojë bazuar në një bazë të dhënash të digjitalizuar, sipas të cilave AKKP-ja në kohë reale është në gjendje të kontrollojë situatën hartografike dhe juridike të dosjes, mbi bazën e së cilës janë dhënë vendimet e kompensimit. Mbivendosjet e mundshme hartografike të vendimeve për kompensim do të dalin të qarta nga baza e të dhënave. Ndërtimi i kësaj baze të dhënash parashikohet të jetë në shumën 900 000 euro. Burimi i fondeve pritet të përcaktohet së shpejti.</w:t>
      </w:r>
    </w:p>
    <w:p w:rsidR="00BC2146" w:rsidRPr="006A03B7" w:rsidRDefault="00BC2146" w:rsidP="00BC2146">
      <w:pPr>
        <w:pStyle w:val="Paragrafi"/>
        <w:rPr>
          <w:sz w:val="21"/>
          <w:szCs w:val="21"/>
          <w:lang w:eastAsia="ja-JP"/>
        </w:rPr>
      </w:pPr>
      <w:r w:rsidRPr="006A03B7">
        <w:rPr>
          <w:sz w:val="21"/>
          <w:szCs w:val="21"/>
          <w:lang w:eastAsia="ja-JP"/>
        </w:rPr>
        <w:t>Nga ana e saj, baza e digjitalizuar e të dhënave e AKKP-së në aspekt hartografik do të ndërtohet (programohet) mbi hartat e standardizuara të prodhuara nga Agjencia Kombëtare për Prodhimin e Hartave të Standardizuara. Duke qenë se të gjitha institucionet do të punojnë me të njëjtin model të standardizuar harte, informacioni hartografik dhe ligjor që ato prodhojnë do të jetë plotësisht i shkëmbyeshëm mes tyre.</w:t>
      </w:r>
    </w:p>
    <w:p w:rsidR="00BC2146" w:rsidRPr="006A03B7" w:rsidRDefault="00BC2146" w:rsidP="00BC2146">
      <w:pPr>
        <w:pStyle w:val="Paragrafi"/>
        <w:rPr>
          <w:sz w:val="21"/>
          <w:szCs w:val="21"/>
          <w:lang w:eastAsia="ja-JP"/>
        </w:rPr>
      </w:pPr>
      <w:r w:rsidRPr="006A03B7">
        <w:rPr>
          <w:sz w:val="21"/>
          <w:szCs w:val="21"/>
          <w:lang w:eastAsia="ja-JP"/>
        </w:rPr>
        <w:t>Subjektet e shpronësuara që disponojnë vendime kompensimi përfundimtare dhe të ekzekutueshme, brenda një afati prekluziv që do të përcaktohet me ligj, do të shprehin vullnetin e tyre (nëpërmjet një formulari tip të miratuar nga Ministri i Drejtësisë dhe që do të depozitohet në AKKP) për të përfituar kompensim financiar sipas skemës së re.</w:t>
      </w:r>
    </w:p>
    <w:p w:rsidR="00BC2146" w:rsidRPr="006A03B7" w:rsidRDefault="00BC2146" w:rsidP="00BC2146">
      <w:pPr>
        <w:pStyle w:val="Paragrafi"/>
        <w:rPr>
          <w:sz w:val="21"/>
          <w:szCs w:val="21"/>
          <w:lang w:eastAsia="ja-JP"/>
        </w:rPr>
      </w:pPr>
      <w:r w:rsidRPr="006A03B7">
        <w:rPr>
          <w:sz w:val="21"/>
          <w:szCs w:val="21"/>
          <w:lang w:eastAsia="ja-JP"/>
        </w:rPr>
        <w:t>Skema e re e kompensimit financiar do të funksionojë sipas kritereve më poshtë:</w:t>
      </w:r>
    </w:p>
    <w:p w:rsidR="00BC2146" w:rsidRPr="006A03B7" w:rsidRDefault="00BC2146" w:rsidP="00BC2146">
      <w:pPr>
        <w:pStyle w:val="Paragrafi"/>
        <w:rPr>
          <w:sz w:val="21"/>
          <w:szCs w:val="21"/>
          <w:lang w:eastAsia="ja-JP"/>
        </w:rPr>
      </w:pPr>
      <w:r w:rsidRPr="006A03B7">
        <w:rPr>
          <w:sz w:val="21"/>
          <w:szCs w:val="21"/>
          <w:lang w:eastAsia="ja-JP"/>
        </w:rPr>
        <w:t>1. Nga skema do të përfitojnë ish-pronarët që disponojnë vendime për kompensim që janë përfundimtare dhe të ekzekutueshme.</w:t>
      </w:r>
    </w:p>
    <w:p w:rsidR="00BC2146" w:rsidRPr="006A03B7" w:rsidRDefault="00BC2146" w:rsidP="00BC2146">
      <w:pPr>
        <w:pStyle w:val="Paragrafi"/>
        <w:rPr>
          <w:sz w:val="21"/>
          <w:szCs w:val="21"/>
          <w:lang w:eastAsia="ja-JP"/>
        </w:rPr>
      </w:pPr>
      <w:r w:rsidRPr="006A03B7">
        <w:rPr>
          <w:sz w:val="21"/>
          <w:szCs w:val="21"/>
          <w:lang w:eastAsia="ja-JP"/>
        </w:rPr>
        <w:t>2. Masa e kompensimit do të jetë 100% dhe do të shpërndahet me këste të barabarta. Një masë e tillë kompensimi do të mbetet e pandryshuar për shkak të pritshmërive të ligjshme të subjekteve për vite me radhë, që do të kompensohen në masë të plotë, si dhe duke pasur parasysh që pagesa e kompensimit do të jetë me këste derisa të arrihet kompensimi 100% për çdo pronar.</w:t>
      </w:r>
    </w:p>
    <w:p w:rsidR="00BC2146" w:rsidRPr="006A03B7" w:rsidRDefault="00BC2146" w:rsidP="00BC2146">
      <w:pPr>
        <w:pStyle w:val="Paragrafi"/>
        <w:rPr>
          <w:sz w:val="21"/>
          <w:szCs w:val="21"/>
          <w:lang w:eastAsia="ja-JP"/>
        </w:rPr>
      </w:pPr>
      <w:r w:rsidRPr="006A03B7">
        <w:rPr>
          <w:sz w:val="21"/>
          <w:szCs w:val="21"/>
          <w:lang w:eastAsia="ja-JP"/>
        </w:rPr>
        <w:t>3. Parashikohet që subjektet që kanë vendime për kompensim përfundimtar dhe të ekzekutueshme duhet të paraqesin një kërkesë sipas një formulari tip (që gjendet tek AKKP-ja apo mund të shkarkohet nga interneti), ku të shprehim vullnetin e tyre për të përfituar kompensimin. Do të pranohen për depozitim ato kërkesa që janë të plota në aspekt formal, duke pasur parasysh kriteret që do të përcaktohen në ligj.</w:t>
      </w:r>
    </w:p>
    <w:p w:rsidR="00BC2146" w:rsidRPr="006A03B7" w:rsidRDefault="00BC2146" w:rsidP="00BC2146">
      <w:pPr>
        <w:pStyle w:val="Paragrafi"/>
        <w:rPr>
          <w:sz w:val="21"/>
          <w:szCs w:val="21"/>
          <w:lang w:eastAsia="ja-JP"/>
        </w:rPr>
      </w:pPr>
      <w:r w:rsidRPr="006A03B7">
        <w:rPr>
          <w:sz w:val="21"/>
          <w:szCs w:val="21"/>
          <w:lang w:eastAsia="ja-JP"/>
        </w:rPr>
        <w:t>4. Kërkesat e depozituara që pranohen si të plota do të regjistrohen në një bazë elektronike të dhënash në rend kronologjik, duke marrë parasysh jo datën e kërkesës, por datën e vendimit më të hershëm për kompensim për një pronë të caktuar. Nëse një subjekt i shpronësuar disponon vendime kompensimi për prona të ndryshme, mendohet që secili prej tyre të regjistrohet në radhë kronologjike sipas datës që mban, pavarësisht se subjekti i shpronësuar është i njëjti.</w:t>
      </w:r>
    </w:p>
    <w:p w:rsidR="00BC2146" w:rsidRPr="006A03B7" w:rsidRDefault="00BC2146" w:rsidP="00BC2146">
      <w:pPr>
        <w:pStyle w:val="Paragrafi"/>
        <w:rPr>
          <w:sz w:val="21"/>
          <w:szCs w:val="21"/>
          <w:lang w:eastAsia="ja-JP"/>
        </w:rPr>
      </w:pPr>
      <w:r w:rsidRPr="006A03B7">
        <w:rPr>
          <w:sz w:val="21"/>
          <w:szCs w:val="21"/>
          <w:lang w:eastAsia="ja-JP"/>
        </w:rPr>
        <w:t xml:space="preserve">5. Në përfundim të periudhës 6-mujore të shprehjes së vullnetit, AKKP-ja kryen procedurat e brendshme për të filluar shpërndarjen efektive të fondit të kompensimit. Në këtë moment do të dihet me saktësi të pranueshme numri i pronarëve që kërkojnë kompensim dhe rrjedhimisht do të mund të </w:t>
      </w:r>
      <w:r w:rsidRPr="006A03B7">
        <w:rPr>
          <w:sz w:val="21"/>
          <w:szCs w:val="21"/>
          <w:lang w:eastAsia="ja-JP"/>
        </w:rPr>
        <w:lastRenderedPageBreak/>
        <w:t>vlerësohet fatura financiare.</w:t>
      </w:r>
    </w:p>
    <w:p w:rsidR="00BC2146" w:rsidRPr="006A03B7" w:rsidRDefault="00BC2146" w:rsidP="00BC2146">
      <w:pPr>
        <w:pStyle w:val="Paragrafi"/>
        <w:rPr>
          <w:sz w:val="21"/>
          <w:szCs w:val="21"/>
          <w:lang w:eastAsia="ja-JP"/>
        </w:rPr>
      </w:pPr>
      <w:r w:rsidRPr="006A03B7">
        <w:rPr>
          <w:sz w:val="21"/>
          <w:szCs w:val="21"/>
          <w:lang w:eastAsia="ja-JP"/>
        </w:rPr>
        <w:t>6. Shteti mendohet të ketë diskrecion me ligj, që të përcaktojë llojin e kompensimit që do të përfitojë subjekti për çdo këst kompensimi në varësi të fondit fizik apo financiar që ka në dispozicion në momentin kur trajton një subjekt të caktuar. Subjektet nuk do të kenë të drejtë të kërkojnë kompensim në njërën apo tjetrën formë. Në rast se subjekti refuzon të pranojë kompensimin e dhënë, e humbet të drejtën për kompensim për atë këst/pjesë.</w:t>
      </w:r>
    </w:p>
    <w:p w:rsidR="00BC2146" w:rsidRPr="006A03B7" w:rsidRDefault="00BC2146" w:rsidP="00BC2146">
      <w:pPr>
        <w:pStyle w:val="Paragrafi"/>
        <w:rPr>
          <w:sz w:val="21"/>
          <w:szCs w:val="21"/>
          <w:lang w:eastAsia="ja-JP"/>
        </w:rPr>
      </w:pPr>
      <w:r w:rsidRPr="006A03B7">
        <w:rPr>
          <w:sz w:val="21"/>
          <w:szCs w:val="21"/>
          <w:lang w:eastAsia="ja-JP"/>
        </w:rPr>
        <w:t xml:space="preserve">7. Kompensimi do të kryhet automatikisht nga vetë shteti (mbështetur në bazën elektronike të të dhënave), i cili ka si detyrim të vetekzekutojë me iniciativën e tij vendimet e ashtuquajtura </w:t>
      </w:r>
      <w:r w:rsidRPr="006A03B7">
        <w:rPr>
          <w:i/>
          <w:sz w:val="21"/>
          <w:szCs w:val="21"/>
          <w:lang w:eastAsia="ja-JP"/>
        </w:rPr>
        <w:t>quasi</w:t>
      </w:r>
      <w:r w:rsidRPr="006A03B7">
        <w:rPr>
          <w:sz w:val="21"/>
          <w:szCs w:val="21"/>
          <w:lang w:eastAsia="ja-JP"/>
        </w:rPr>
        <w:t xml:space="preserve"> gjyqësore (në referim të vendimeve të GJEDNJ-së në çështjet “Beshiri kundër Shqipërisë”, “Bushati kundër Shqipërisë”, “Scordino kundër Italisë”).</w:t>
      </w:r>
    </w:p>
    <w:p w:rsidR="00BC2146" w:rsidRPr="006A03B7" w:rsidRDefault="00BC2146" w:rsidP="00BC2146">
      <w:pPr>
        <w:pStyle w:val="Paragrafi"/>
        <w:rPr>
          <w:sz w:val="21"/>
          <w:szCs w:val="21"/>
          <w:lang w:eastAsia="ja-JP"/>
        </w:rPr>
      </w:pPr>
      <w:r w:rsidRPr="006A03B7">
        <w:rPr>
          <w:sz w:val="21"/>
          <w:szCs w:val="21"/>
          <w:lang w:eastAsia="ja-JP"/>
        </w:rPr>
        <w:t>8. Me t’u përcaktuar fatura financiare do të parashikohet dhe një afat konkret se kur mund të përfundojë ky proces.</w:t>
      </w:r>
    </w:p>
    <w:p w:rsidR="00BC2146" w:rsidRPr="006A03B7" w:rsidRDefault="00BC2146" w:rsidP="00BC2146">
      <w:pPr>
        <w:pStyle w:val="Paragrafi"/>
        <w:rPr>
          <w:sz w:val="21"/>
          <w:szCs w:val="21"/>
          <w:lang w:eastAsia="ja-JP"/>
        </w:rPr>
      </w:pPr>
      <w:r w:rsidRPr="006A03B7">
        <w:rPr>
          <w:sz w:val="21"/>
          <w:szCs w:val="21"/>
          <w:lang w:eastAsia="ja-JP"/>
        </w:rPr>
        <w:t>9. Dhënia e kompensimit në natyrë do të ketë përparësi në raport me dhënien e kompensimit financiar, në mënyrë që të ulet fatura financiare për shtetin.</w:t>
      </w:r>
    </w:p>
    <w:p w:rsidR="00BC2146" w:rsidRPr="006A03B7" w:rsidRDefault="00BC2146" w:rsidP="00BC2146">
      <w:pPr>
        <w:pStyle w:val="Paragrafi"/>
        <w:rPr>
          <w:sz w:val="21"/>
          <w:szCs w:val="21"/>
          <w:lang w:eastAsia="ja-JP"/>
        </w:rPr>
      </w:pPr>
      <w:r w:rsidRPr="006A03B7">
        <w:rPr>
          <w:sz w:val="21"/>
          <w:szCs w:val="21"/>
          <w:lang w:eastAsia="ja-JP"/>
        </w:rPr>
        <w:t>10. Kompensimi në çdo formë do të jepet për subjektet duke marrë parasysh kriterin kronologjik dhe sipas zonave kadastrale, në të cilat fondi fizik i kompensimit është në dispozicion. Nëse ka fond fizik brenda qarkut ku ndodhet prona e kompensuar, kompensimi fizik do të jepet në këtë qark. Në të kundërt jashtë qarkut, por gjithsesi sa më afër qarkut ku ndodhet prona e kompensuar.</w:t>
      </w:r>
    </w:p>
    <w:p w:rsidR="00BC2146" w:rsidRPr="006A03B7" w:rsidRDefault="00BC2146" w:rsidP="00BC2146">
      <w:pPr>
        <w:pStyle w:val="Paragrafi"/>
        <w:rPr>
          <w:sz w:val="21"/>
          <w:szCs w:val="21"/>
          <w:lang w:eastAsia="ja-JP"/>
        </w:rPr>
      </w:pPr>
      <w:r w:rsidRPr="006A03B7">
        <w:rPr>
          <w:sz w:val="21"/>
          <w:szCs w:val="21"/>
          <w:lang w:eastAsia="ja-JP"/>
        </w:rPr>
        <w:t>11. Në rast kur ka përplasje mes subjektesh për kompensim mbi të njëjtën pasuri, ata duhet t’i drejtohen gjykatës për zgjidhjen e konfliktit se kujt i takon e drejta e kompensimit për pjesën e mbivendosur të pasurisë brenda afatit prekluziv 1-mujor (njëmujor) nga moment i njoftimit nga AKKP-ja për një mbivendosje të tillë. Në të kundërt, të gjitha subjektet në fjalë humbin të drejtën për kompensim për pjesën e mbivendosur. Gjatë kohës së zgjidhjes gjyqësisht të çështjes</w:t>
      </w:r>
      <w:r>
        <w:rPr>
          <w:sz w:val="21"/>
          <w:szCs w:val="21"/>
          <w:lang w:eastAsia="ja-JP"/>
        </w:rPr>
        <w:t>,</w:t>
      </w:r>
      <w:r w:rsidRPr="006A03B7">
        <w:rPr>
          <w:sz w:val="21"/>
          <w:szCs w:val="21"/>
          <w:lang w:eastAsia="ja-JP"/>
        </w:rPr>
        <w:t xml:space="preserve"> ushtrimi i së drejtës për kompensim pezullohet </w:t>
      </w:r>
      <w:r w:rsidRPr="006A03B7">
        <w:rPr>
          <w:i/>
          <w:sz w:val="21"/>
          <w:szCs w:val="21"/>
          <w:lang w:eastAsia="ja-JP"/>
        </w:rPr>
        <w:t>ex lege</w:t>
      </w:r>
      <w:r w:rsidRPr="006A03B7">
        <w:rPr>
          <w:sz w:val="21"/>
          <w:szCs w:val="21"/>
          <w:lang w:eastAsia="ja-JP"/>
        </w:rPr>
        <w:t xml:space="preserve"> deri në momentin kur çështja zgjidhet përfundimisht në rrugë gjyqësore dhe AKKP-së i njoftohet vendimi gjyqësor përkatës. Me zgjidhjen përfundimtare të çështjes, subjekti gjyqfitues përfiton kompensimin sipas kritereve të këtij ligji në radhën e ardhshme të kompensimit, kurse çdo subjekt tjetër pjesëmarrës në atë gjykim humb të drejtën për kompensim për atë pasuri.</w:t>
      </w:r>
    </w:p>
    <w:p w:rsidR="00BC2146" w:rsidRPr="006A03B7" w:rsidRDefault="00BC2146" w:rsidP="00BC2146">
      <w:pPr>
        <w:pStyle w:val="Paragrafi"/>
        <w:rPr>
          <w:sz w:val="21"/>
          <w:szCs w:val="21"/>
          <w:lang w:eastAsia="ja-JP"/>
        </w:rPr>
      </w:pPr>
      <w:r w:rsidRPr="006A03B7">
        <w:rPr>
          <w:sz w:val="21"/>
          <w:szCs w:val="21"/>
          <w:lang w:eastAsia="ja-JP"/>
        </w:rPr>
        <w:t>12. Logjika e pikës 11 do të ndiqet edhe për kompensimin me pjesëmarrje në privatizimin e aksioneve të shoqërive shtetërore.</w:t>
      </w:r>
    </w:p>
    <w:p w:rsidR="00BC2146" w:rsidRPr="006A03B7" w:rsidRDefault="00BC2146" w:rsidP="00BC2146">
      <w:pPr>
        <w:pStyle w:val="Paragrafi"/>
        <w:rPr>
          <w:sz w:val="21"/>
          <w:szCs w:val="21"/>
          <w:lang w:eastAsia="ja-JP"/>
        </w:rPr>
      </w:pPr>
      <w:r w:rsidRPr="006A03B7">
        <w:rPr>
          <w:sz w:val="21"/>
          <w:szCs w:val="21"/>
          <w:lang w:eastAsia="ja-JP"/>
        </w:rPr>
        <w:t>13. Përcaktimi i fondit për kompensim fizik sistematik do të përfundojë brenda fundit të vitit 2018. Ndërkohë, deri në bërjen efektive të fondit për kompensim fizik sistematik, do të shpërndahet fondi fizik që kohë pas kohe do të jetë gjendje.</w:t>
      </w:r>
    </w:p>
    <w:p w:rsidR="00BC2146" w:rsidRPr="006A03B7" w:rsidRDefault="00BC2146" w:rsidP="00BC2146">
      <w:pPr>
        <w:pStyle w:val="Paragrafi"/>
        <w:rPr>
          <w:sz w:val="21"/>
          <w:szCs w:val="21"/>
          <w:lang w:eastAsia="ja-JP"/>
        </w:rPr>
      </w:pPr>
      <w:r w:rsidRPr="006A03B7">
        <w:rPr>
          <w:sz w:val="21"/>
          <w:szCs w:val="21"/>
          <w:lang w:eastAsia="ja-JP"/>
        </w:rPr>
        <w:t>14. Skema definitive do të marrë në konsideratë dhe problemet praktike që u trajtuan në kuadër të skemës kalimtare të vitit 2011.</w:t>
      </w:r>
    </w:p>
    <w:p w:rsidR="00BC2146" w:rsidRPr="006A03B7" w:rsidRDefault="00BC2146" w:rsidP="00BC2146">
      <w:pPr>
        <w:pStyle w:val="Paragrafi"/>
        <w:rPr>
          <w:sz w:val="21"/>
          <w:szCs w:val="21"/>
          <w:lang w:eastAsia="ja-JP"/>
        </w:rPr>
      </w:pPr>
      <w:r w:rsidRPr="006A03B7">
        <w:rPr>
          <w:sz w:val="21"/>
          <w:szCs w:val="21"/>
          <w:lang w:eastAsia="ja-JP"/>
        </w:rPr>
        <w:t>Skema e mësipërme do të jetë pjesë e ndryshimeve që parashikohen të bëhen në ligjin për kthimin dhe kompensimin e pronës deri në fund të nëntorit 2011. Kjo skemë parashikohet të diskutohet gjatë muajve qershor-korrik të këtij viti me ish-pronarë</w:t>
      </w:r>
      <w:r>
        <w:rPr>
          <w:sz w:val="21"/>
          <w:szCs w:val="21"/>
          <w:lang w:eastAsia="ja-JP"/>
        </w:rPr>
        <w:t>t dhe grupe të</w:t>
      </w:r>
      <w:r w:rsidRPr="006A03B7">
        <w:rPr>
          <w:sz w:val="21"/>
          <w:szCs w:val="21"/>
          <w:lang w:eastAsia="ja-JP"/>
        </w:rPr>
        <w:t xml:space="preserve"> tjera interesi të interesuara.</w:t>
      </w:r>
    </w:p>
    <w:p w:rsidR="00BC2146" w:rsidRPr="006A03B7" w:rsidRDefault="00BC2146" w:rsidP="00BC2146">
      <w:pPr>
        <w:pStyle w:val="Paragrafi"/>
        <w:rPr>
          <w:sz w:val="21"/>
          <w:szCs w:val="21"/>
          <w:lang w:eastAsia="ja-JP"/>
        </w:rPr>
      </w:pPr>
      <w:r w:rsidRPr="006A03B7">
        <w:rPr>
          <w:sz w:val="21"/>
          <w:szCs w:val="21"/>
          <w:lang w:eastAsia="ja-JP"/>
        </w:rPr>
        <w:t>Skema definitive e kompensimit do të paraprihet nga disa masa institucionale dhe ligjore:</w:t>
      </w:r>
    </w:p>
    <w:p w:rsidR="00BC2146" w:rsidRPr="006A03B7" w:rsidRDefault="00BC2146" w:rsidP="00BC2146">
      <w:pPr>
        <w:pStyle w:val="Paragrafi"/>
        <w:rPr>
          <w:sz w:val="21"/>
          <w:szCs w:val="21"/>
          <w:lang w:eastAsia="ja-JP"/>
        </w:rPr>
      </w:pPr>
      <w:r>
        <w:rPr>
          <w:sz w:val="21"/>
          <w:szCs w:val="21"/>
          <w:lang w:eastAsia="ja-JP"/>
        </w:rPr>
        <w:t>2</w:t>
      </w:r>
      <w:r w:rsidRPr="006A03B7">
        <w:rPr>
          <w:sz w:val="21"/>
          <w:szCs w:val="21"/>
          <w:lang w:eastAsia="ja-JP"/>
        </w:rPr>
        <w:t>. Institucionale</w:t>
      </w:r>
    </w:p>
    <w:p w:rsidR="00BC2146" w:rsidRPr="006A03B7" w:rsidRDefault="00BC2146" w:rsidP="00BC2146">
      <w:pPr>
        <w:pStyle w:val="Paragrafi"/>
        <w:rPr>
          <w:sz w:val="21"/>
          <w:szCs w:val="21"/>
          <w:lang w:eastAsia="ja-JP"/>
        </w:rPr>
      </w:pPr>
      <w:r w:rsidRPr="006A03B7">
        <w:rPr>
          <w:sz w:val="21"/>
          <w:szCs w:val="21"/>
          <w:lang w:eastAsia="ja-JP"/>
        </w:rPr>
        <w:t>2.1 Në funksion të një koordinimi dhe ecurie më të mirë të problematikës së pronave në Shqipëri</w:t>
      </w:r>
      <w:r>
        <w:rPr>
          <w:sz w:val="21"/>
          <w:szCs w:val="21"/>
          <w:lang w:eastAsia="ja-JP"/>
        </w:rPr>
        <w:t>,</w:t>
      </w:r>
      <w:r w:rsidRPr="006A03B7">
        <w:rPr>
          <w:sz w:val="21"/>
          <w:szCs w:val="21"/>
          <w:lang w:eastAsia="ja-JP"/>
        </w:rPr>
        <w:t xml:space="preserve"> do të ngrihet një strukturë pranë Ministrisë së Drejtësisë. Kjo strukturë përgatit, ndjek dhe realizon politikat dhe veprimtaritë që lidhen me hartimin e studimeve në fushën e legjislacionit për të drejtat e pronësisë, kryen dhe përfundon analizat tekniko-ligjore të vlerësimit, të efektivitetit të legjislacionit, harmonizimin tekniko-ligjor të brendshëm të legjislacionit për të drejtat e pronësisë. Për kryerjen e kësaj përgjegjësie, ajo bashkëpunon dhe bashkërendon veprimtarinë me Drejtorinë e Përgjithshme të Kodifikimit.</w:t>
      </w:r>
    </w:p>
    <w:p w:rsidR="00BC2146" w:rsidRPr="006A03B7" w:rsidRDefault="00BC2146" w:rsidP="00BC2146">
      <w:pPr>
        <w:pStyle w:val="Paragrafi"/>
        <w:rPr>
          <w:sz w:val="21"/>
          <w:szCs w:val="21"/>
          <w:lang w:eastAsia="ja-JP"/>
        </w:rPr>
      </w:pPr>
      <w:r w:rsidRPr="006A03B7">
        <w:rPr>
          <w:sz w:val="21"/>
          <w:szCs w:val="21"/>
          <w:lang w:eastAsia="ja-JP"/>
        </w:rPr>
        <w:t>Kjo strukturë, gjithashtu, do të koordinojë institucionet, si: AKKP, ZRPP, ALUIZNI, DASHPP, KQT, Avokatura e Shtetit dhe do të mbikëqyrë e monitorojë procesin e kompensimit të pronave dhe implementimin e masave strategjike të propozuara në planveprimin për çështjet e pronave. Kompetencat dhe detyrat konkrete të kësaj strukture do të dihen në momentin kur të krijohet me ligj (fund nëntori 2011).</w:t>
      </w:r>
    </w:p>
    <w:p w:rsidR="00BC2146" w:rsidRPr="006A03B7" w:rsidRDefault="00BC2146" w:rsidP="00BC2146">
      <w:pPr>
        <w:pStyle w:val="Paragrafi"/>
        <w:rPr>
          <w:sz w:val="21"/>
          <w:szCs w:val="21"/>
          <w:lang w:eastAsia="ja-JP"/>
        </w:rPr>
      </w:pPr>
      <w:r w:rsidRPr="006A03B7">
        <w:rPr>
          <w:sz w:val="21"/>
          <w:szCs w:val="21"/>
          <w:lang w:eastAsia="ja-JP"/>
        </w:rPr>
        <w:t>Kjo strukturë mendohet të përbëhet nga një staf prej 10 (dhjetë) vetash. Tri prej tyre parashikohen të jenë të nivelit drejtues dhe të tjerët koordinatorë (nivel ekzekutiv). Koordinatorët do të kenë si detyrë të krijojnë dhe mbajnë lidhje të vazhdueshme me institucione të ndryshme shtetërore, me qëllim mbledhjen e informacionit dhe qarkullimin e tij në kohë reale në funksion të përshpejtimit dhe mbarëvajtjes së procesit të kompensimit të pronave. Informacionet që koordinatorët marrin sipas fushës apo institucionit që mbulojnë</w:t>
      </w:r>
      <w:r>
        <w:rPr>
          <w:sz w:val="21"/>
          <w:szCs w:val="21"/>
          <w:lang w:eastAsia="ja-JP"/>
        </w:rPr>
        <w:t>,</w:t>
      </w:r>
      <w:r w:rsidRPr="006A03B7">
        <w:rPr>
          <w:sz w:val="21"/>
          <w:szCs w:val="21"/>
          <w:lang w:eastAsia="ja-JP"/>
        </w:rPr>
        <w:t xml:space="preserve"> i përpunojnë dhe analizojnë dhe më pas i qarkullojnë sipas kërkesave të institucioneve të përfshira në procesin e kthimit dhe kompensimit të pronave. Më tej, koordinatorët, në bashkëpunim me AKPP-në</w:t>
      </w:r>
      <w:r>
        <w:rPr>
          <w:sz w:val="21"/>
          <w:szCs w:val="21"/>
          <w:lang w:eastAsia="ja-JP"/>
        </w:rPr>
        <w:t>,</w:t>
      </w:r>
      <w:r w:rsidRPr="006A03B7">
        <w:rPr>
          <w:sz w:val="21"/>
          <w:szCs w:val="21"/>
          <w:lang w:eastAsia="ja-JP"/>
        </w:rPr>
        <w:t xml:space="preserve"> do të sigurojnë përditësimin në kohë reale të bazës së të dhënave të AKKP-së.</w:t>
      </w:r>
    </w:p>
    <w:p w:rsidR="00BC2146" w:rsidRPr="006A03B7" w:rsidRDefault="00BC2146" w:rsidP="00BC2146">
      <w:pPr>
        <w:pStyle w:val="Paragrafi"/>
        <w:rPr>
          <w:sz w:val="21"/>
          <w:szCs w:val="21"/>
          <w:lang w:eastAsia="ja-JP"/>
        </w:rPr>
      </w:pPr>
      <w:r w:rsidRPr="006A03B7">
        <w:rPr>
          <w:sz w:val="21"/>
          <w:szCs w:val="21"/>
          <w:lang w:eastAsia="ja-JP"/>
        </w:rPr>
        <w:t>Kjo strukturë do të fillojë të funksionojë njëkohësisht me hyrjen në fuqi të përmirësimeve ligjore për kompensimin e pronës që synohet brenda nëntorit 2011.</w:t>
      </w:r>
    </w:p>
    <w:p w:rsidR="00BC2146" w:rsidRPr="006A03B7" w:rsidRDefault="00BC2146" w:rsidP="00BC2146">
      <w:pPr>
        <w:pStyle w:val="Paragrafi"/>
        <w:rPr>
          <w:sz w:val="21"/>
          <w:szCs w:val="21"/>
          <w:lang w:eastAsia="ja-JP"/>
        </w:rPr>
      </w:pPr>
      <w:r w:rsidRPr="006A03B7">
        <w:rPr>
          <w:sz w:val="21"/>
          <w:szCs w:val="21"/>
          <w:lang w:eastAsia="ja-JP"/>
        </w:rPr>
        <w:t>Ngritja e strukturës së koordinimit do të lehtësojë procesin vendimmarrës, pasi shumë aktorë shtetërorë, të përfshirë në problematikën e pronave, do të jenë të koordinuar nën drejtimin dhe mbikëqyrjen e kësaj drejtorie. Drejtori i Drejtorisë së Koordinimit, për vetë rëndësinë e problematikës, mendojmë të zgjidhet nga Kryeministri me propozim të Ministrit të Drejtësisë. Ai do të informojë dhe do t’i raportojë periodikisht Ministrit të Drejtësisë dhe Kryeministrit.</w:t>
      </w:r>
    </w:p>
    <w:p w:rsidR="00BC2146" w:rsidRPr="006A03B7" w:rsidRDefault="00BC2146" w:rsidP="00BC2146">
      <w:pPr>
        <w:pStyle w:val="Paragrafi"/>
        <w:rPr>
          <w:sz w:val="21"/>
          <w:szCs w:val="21"/>
          <w:lang w:eastAsia="ja-JP"/>
        </w:rPr>
      </w:pPr>
      <w:r w:rsidRPr="006A03B7">
        <w:rPr>
          <w:sz w:val="21"/>
          <w:szCs w:val="21"/>
          <w:lang w:eastAsia="ja-JP"/>
        </w:rPr>
        <w:t>Struktura e koordinimit, ndër të tjera, do të qarkullojë informacionin dhe dokumentacionin e prodhuar nga institucionet e mësipërme në funksion të përditësimit të arkivave të këtyre institucioneve. Rrjedhimisht, marrja apo qarkullimi i informacionit dhe dokumentacionit të domosdoshëm për një proces vendimmarrës pronash do të jetë më i shpejtë. Baza ligore dhe nënligjore, si dhe veprimtaria e kësaj strukture do të publikohet në faqen zyrtare të internetit të Ministrisë së Drejtësisë.</w:t>
      </w:r>
    </w:p>
    <w:p w:rsidR="00BC2146" w:rsidRPr="006A03B7" w:rsidRDefault="00BC2146" w:rsidP="00BC2146">
      <w:pPr>
        <w:pStyle w:val="Paragrafi"/>
        <w:rPr>
          <w:sz w:val="21"/>
          <w:szCs w:val="21"/>
          <w:lang w:eastAsia="ja-JP"/>
        </w:rPr>
      </w:pPr>
      <w:r w:rsidRPr="006A03B7">
        <w:rPr>
          <w:sz w:val="21"/>
          <w:szCs w:val="21"/>
          <w:lang w:eastAsia="ja-JP"/>
        </w:rPr>
        <w:t xml:space="preserve">2.2 Me vendim të Këshillit të Ministrave do të ngrihet Agjencia Kombëtare për Prodhimin e Hartave të Standardizuara në bazë të propozimeve që kanë dalë nga grupi </w:t>
      </w:r>
      <w:r w:rsidRPr="006A03B7">
        <w:rPr>
          <w:i/>
          <w:sz w:val="21"/>
          <w:szCs w:val="21"/>
          <w:lang w:eastAsia="ja-JP"/>
        </w:rPr>
        <w:t>ad hoc</w:t>
      </w:r>
      <w:r w:rsidRPr="006A03B7">
        <w:rPr>
          <w:sz w:val="21"/>
          <w:szCs w:val="21"/>
          <w:lang w:eastAsia="ja-JP"/>
        </w:rPr>
        <w:t xml:space="preserve"> i punës i ngritur me urdhrin e Kryeministrit nr.29, datë 7.3.2011 “Për ngritjen e grupit ndërinstitucional të punës për hartimin e dokumentit të politikave, të planveprimit dhe të kuadrit të nevojshëm ligjor, për organizimin dhe funksionimin e institucioneve përgjegjëse për prodhimin, shkëmbimin, aksesin dhe përdorimin e informacionit interoperabël me të dhëna gjeohapësinore, në kuadrin e zbatimit të direktivës 2007/02/CE “Inspire”, në Shqipëri”.</w:t>
      </w:r>
    </w:p>
    <w:p w:rsidR="00BC2146" w:rsidRPr="006A03B7" w:rsidRDefault="00BC2146" w:rsidP="00BC2146">
      <w:pPr>
        <w:pStyle w:val="Paragrafi"/>
        <w:rPr>
          <w:sz w:val="21"/>
          <w:szCs w:val="21"/>
          <w:lang w:eastAsia="ja-JP"/>
        </w:rPr>
      </w:pPr>
      <w:r w:rsidRPr="006A03B7">
        <w:rPr>
          <w:sz w:val="21"/>
          <w:szCs w:val="21"/>
          <w:lang w:eastAsia="ja-JP"/>
        </w:rPr>
        <w:t>Struktura në fjalë do të jetë përgjegjëse ndër të tjera për përgatitjen e hartave unike (të standardizuara) në Republikën e Shqipërisë, e cila do të furnizojë me të tilla harta çdo institucion shtetëror të përfshirë në procesin e pronës. Në këtë mënyrë, të gjithë aktorët e përfshirë në procesin e pronës do të punojnë me harta të të njëjtit standard, çka do të mundësojë shkëmbimin dhe koordinimin e informacionit hartografik. Kjo strukturë synohet të ngrihet brenda muajit gusht 2011 dhe synohet të ketë përfunduar përgatitjen e hartës unike standarde brenda muajit janar 2012. Kjo Agjenci parashikohet të ketë si fillim një personel prej 15 vetash. Kompetencat e kësaj Agjencie do të dihen me saktësi në momentin e krijimit të saj.</w:t>
      </w:r>
    </w:p>
    <w:p w:rsidR="00BC2146" w:rsidRPr="006A03B7" w:rsidRDefault="00BC2146" w:rsidP="00BC2146">
      <w:pPr>
        <w:pStyle w:val="Paragrafi"/>
        <w:rPr>
          <w:sz w:val="21"/>
          <w:szCs w:val="21"/>
          <w:lang w:eastAsia="ja-JP"/>
        </w:rPr>
      </w:pPr>
      <w:r w:rsidRPr="006A03B7">
        <w:rPr>
          <w:sz w:val="21"/>
          <w:szCs w:val="21"/>
          <w:lang w:eastAsia="ja-JP"/>
        </w:rPr>
        <w:t>3. Ligjore</w:t>
      </w:r>
    </w:p>
    <w:p w:rsidR="00BC2146" w:rsidRPr="006A03B7" w:rsidRDefault="00BC2146" w:rsidP="00BC2146">
      <w:pPr>
        <w:pStyle w:val="Paragrafi"/>
        <w:rPr>
          <w:sz w:val="21"/>
          <w:szCs w:val="21"/>
          <w:lang w:eastAsia="ja-JP"/>
        </w:rPr>
      </w:pPr>
      <w:r w:rsidRPr="006A03B7">
        <w:rPr>
          <w:sz w:val="21"/>
          <w:szCs w:val="21"/>
          <w:lang w:eastAsia="ja-JP"/>
        </w:rPr>
        <w:t>3.1 Do të përditësohet përmbledhja aktuale për çështjet e pronësisë, e cila është e përditësuar deri në vitin 2006. Ky proces do të mbikëqyret dhe koordinohet nga koordinatori përkatës pranë njësisë në fjalë. Ky koordinator do të ndihmohet nga Qendra e Publikimeve Zyrtare që është përgjegjëse për botimin e Fletores Zyrtare. Procesi në fjalë përfundon brenda muajit dhjetor 2011.</w:t>
      </w:r>
    </w:p>
    <w:p w:rsidR="00BC2146" w:rsidRPr="006A03B7" w:rsidRDefault="00BC2146" w:rsidP="00BC2146">
      <w:pPr>
        <w:pStyle w:val="Paragrafi"/>
        <w:rPr>
          <w:sz w:val="21"/>
          <w:szCs w:val="21"/>
          <w:lang w:eastAsia="ja-JP"/>
        </w:rPr>
      </w:pPr>
      <w:r w:rsidRPr="006A03B7">
        <w:rPr>
          <w:sz w:val="21"/>
          <w:szCs w:val="21"/>
          <w:lang w:eastAsia="ja-JP"/>
        </w:rPr>
        <w:t>3.2 Parashikohet që brenda vitit 2012, me ndihmën e institucioneve ndërkombëtare, të kryhet thjeshtimi dhe konsolidimi i legjislacionit për çështjet e pronësisë në sa më pak tekste ligjore të jetë e mundur, duke u parashikuar procedura të sakta dhe të drejtpërdrejta për fushën e pronësisë.</w:t>
      </w:r>
    </w:p>
    <w:p w:rsidR="00BC2146" w:rsidRPr="006A03B7" w:rsidRDefault="00BC2146" w:rsidP="00BC2146">
      <w:pPr>
        <w:pStyle w:val="Paragrafi"/>
        <w:rPr>
          <w:sz w:val="21"/>
          <w:szCs w:val="21"/>
          <w:lang w:eastAsia="ja-JP"/>
        </w:rPr>
      </w:pPr>
      <w:r w:rsidRPr="006A03B7">
        <w:rPr>
          <w:sz w:val="21"/>
          <w:szCs w:val="21"/>
          <w:lang w:eastAsia="ja-JP"/>
        </w:rPr>
        <w:t>ALUIZNI përfundon procesin e kualifikimit të subjekteve që përfitojnë legalizim brenda vitit 2011. Mbi hartën e standardizuar, brenda periudhës shkurt 2012 - gusht 2012, do të pasqyrohen të gjitha pasuritë e legalizuara apo të përjashtuara nga legalizimi. Informacioni i kësaj harte do t’i vihet në dispozicion AKKP-së, në mënyrë që të jetë në gjendje të vlerësojë situatën në terren. Në këtë mënyrë AKKP-ja do të ketë informacionin e duhur për gjendjen e legalizimeve, me qëllim që të shmangë dhënien e vendimeve në të tilla zona.</w:t>
      </w:r>
    </w:p>
    <w:p w:rsidR="00BC2146" w:rsidRPr="006A03B7" w:rsidRDefault="00BC2146" w:rsidP="00BC2146">
      <w:pPr>
        <w:pStyle w:val="Paragrafi"/>
        <w:rPr>
          <w:sz w:val="21"/>
          <w:szCs w:val="21"/>
          <w:lang w:eastAsia="ja-JP"/>
        </w:rPr>
      </w:pPr>
      <w:r w:rsidRPr="006A03B7">
        <w:rPr>
          <w:sz w:val="21"/>
          <w:szCs w:val="21"/>
          <w:lang w:eastAsia="ja-JP"/>
        </w:rPr>
        <w:t>Deri në fund të vitit 2012, KQT-ja përfundon shqyrtimin në rrugë administrative të të gjitha kërkesave dhe praktikave (përfshirë rastet që trajtohen për shkak të urdhërimeve të vendimeve gjyqësore). Vlen të sqarohet që pas fazës administrative do të vijohet me fazën gjyqësore të këtij procesi, e cila zgjat rreth 3-4 vjet në të gjitha shkallët e gjyqësorit dhe përfundimi i saj është i pavarur nga ekzekutivi.</w:t>
      </w:r>
    </w:p>
    <w:p w:rsidR="00BC2146" w:rsidRPr="006A03B7" w:rsidRDefault="00BC2146" w:rsidP="00BC2146">
      <w:pPr>
        <w:pStyle w:val="Paragrafi"/>
        <w:rPr>
          <w:sz w:val="21"/>
          <w:szCs w:val="21"/>
          <w:lang w:eastAsia="ja-JP"/>
        </w:rPr>
      </w:pPr>
      <w:r w:rsidRPr="006A03B7">
        <w:rPr>
          <w:sz w:val="21"/>
          <w:szCs w:val="21"/>
          <w:lang w:eastAsia="ja-JP"/>
        </w:rPr>
        <w:t>Në funksion të përcaktimit të fondit për kompensim fizik sistematik:</w:t>
      </w:r>
    </w:p>
    <w:p w:rsidR="00BC2146" w:rsidRPr="006A03B7" w:rsidRDefault="00BC2146" w:rsidP="00BC2146">
      <w:pPr>
        <w:pStyle w:val="Paragrafi"/>
        <w:rPr>
          <w:sz w:val="21"/>
          <w:szCs w:val="21"/>
          <w:lang w:eastAsia="ja-JP"/>
        </w:rPr>
      </w:pPr>
      <w:r w:rsidRPr="006A03B7">
        <w:rPr>
          <w:sz w:val="21"/>
          <w:szCs w:val="21"/>
          <w:lang w:eastAsia="ja-JP"/>
        </w:rPr>
        <w:t>ZRPP-ja duhet të mbarojë procesin e plotë të regjistrimit fillestar. Përveç zonave kadastrale që janë në proces regjistrimi fillestar dhe që e përfundojnë atë brenda vitit 2013, përfundimi i këtij procesi për 477 zonat e mbetura kadastrale, si dhe për pyjet e kullotat në të gjithë territorin e vendit varet nga sigurimi i fondit financiar të nevojshëm për këtë proces. Ky fond përllogaritet të jetë afërsisht 10 milionë euro për një total prej 678.800 pasurish.</w:t>
      </w:r>
    </w:p>
    <w:p w:rsidR="00BC2146" w:rsidRPr="006A03B7" w:rsidRDefault="00BC2146" w:rsidP="00BC2146">
      <w:pPr>
        <w:pStyle w:val="Paragrafi"/>
        <w:rPr>
          <w:sz w:val="21"/>
          <w:szCs w:val="21"/>
          <w:lang w:eastAsia="ja-JP"/>
        </w:rPr>
      </w:pPr>
      <w:r w:rsidRPr="006A03B7">
        <w:rPr>
          <w:sz w:val="21"/>
          <w:szCs w:val="21"/>
          <w:lang w:eastAsia="ja-JP"/>
        </w:rPr>
        <w:t>METE do të identifikojë të gjitha pasuritë shtetërore që mund të shërbejnë për kompensim të ish-pronarëve me pjesëmarrje në privatizimin e këtyre pasurive (me blerje aksionesh).</w:t>
      </w:r>
    </w:p>
    <w:p w:rsidR="00BC2146" w:rsidRPr="006A03B7" w:rsidRDefault="00BC2146" w:rsidP="00BC2146">
      <w:pPr>
        <w:pStyle w:val="Paragrafi"/>
        <w:rPr>
          <w:sz w:val="21"/>
          <w:szCs w:val="21"/>
          <w:lang w:eastAsia="ja-JP"/>
        </w:rPr>
      </w:pPr>
      <w:r w:rsidRPr="006A03B7">
        <w:rPr>
          <w:sz w:val="21"/>
          <w:szCs w:val="21"/>
          <w:lang w:eastAsia="ja-JP"/>
        </w:rPr>
        <w:t>Ministria e Mjedisit të përcaktojë fondin pyjor dhe kullosor që do të shërbejë për kthim dhe kompensim fizik.</w:t>
      </w:r>
    </w:p>
    <w:p w:rsidR="00BC2146" w:rsidRDefault="00BC2146" w:rsidP="00BC2146">
      <w:pPr>
        <w:pStyle w:val="Paragrafi"/>
        <w:rPr>
          <w:sz w:val="21"/>
          <w:szCs w:val="21"/>
          <w:lang w:eastAsia="ja-JP"/>
        </w:rPr>
      </w:pPr>
      <w:r w:rsidRPr="006A03B7">
        <w:rPr>
          <w:sz w:val="21"/>
          <w:szCs w:val="21"/>
          <w:lang w:eastAsia="ja-JP"/>
        </w:rPr>
        <w:t>APKT-ja të përfundojë përcaktimin e kufijve të zonave me përparësi zhvillimin e turizmit dhe të hartojë studimet urbanistike për këto zona. Gjithashtu, të identifikojë, pronat që mund të shërbejnë për kthim dhe kompensim fizik.</w:t>
      </w:r>
    </w:p>
    <w:p w:rsidR="00BC2146" w:rsidRDefault="00BC2146" w:rsidP="00BC2146">
      <w:pPr>
        <w:pStyle w:val="Paragrafi"/>
        <w:rPr>
          <w:sz w:val="21"/>
          <w:szCs w:val="21"/>
          <w:lang w:eastAsia="ja-JP"/>
        </w:rPr>
      </w:pPr>
    </w:p>
    <w:p w:rsidR="00BC2146" w:rsidRPr="006A03B7" w:rsidRDefault="00BC2146" w:rsidP="00BC2146">
      <w:pPr>
        <w:pStyle w:val="Paragrafi"/>
        <w:rPr>
          <w:sz w:val="21"/>
          <w:szCs w:val="21"/>
          <w:lang w:eastAsia="ja-JP"/>
        </w:rPr>
      </w:pPr>
    </w:p>
    <w:p w:rsidR="00BC2146" w:rsidRPr="006A03B7" w:rsidRDefault="00BC2146" w:rsidP="00BC2146">
      <w:pPr>
        <w:pStyle w:val="Paragrafi"/>
        <w:rPr>
          <w:sz w:val="21"/>
          <w:szCs w:val="21"/>
          <w:lang w:eastAsia="ja-JP"/>
        </w:rPr>
      </w:pPr>
      <w:r w:rsidRPr="006A03B7">
        <w:rPr>
          <w:sz w:val="21"/>
          <w:szCs w:val="21"/>
          <w:lang w:eastAsia="ja-JP"/>
        </w:rPr>
        <w:t>B. Masat për një shërbim përmbarimor efektiv</w:t>
      </w:r>
    </w:p>
    <w:p w:rsidR="00BC2146" w:rsidRPr="006A03B7" w:rsidRDefault="00BC2146" w:rsidP="00BC2146">
      <w:pPr>
        <w:pStyle w:val="Paragrafi"/>
        <w:rPr>
          <w:sz w:val="21"/>
          <w:szCs w:val="21"/>
          <w:lang w:eastAsia="ja-JP"/>
        </w:rPr>
      </w:pPr>
      <w:r w:rsidRPr="006A03B7">
        <w:rPr>
          <w:sz w:val="21"/>
          <w:szCs w:val="21"/>
          <w:lang w:eastAsia="ja-JP"/>
        </w:rPr>
        <w:t>Në kuadër të reformimit të Shërbimit të Përmbarimit Gjyqësor, Drejtoria e Përgjithshme e Përmbarimit po angazhohet në realizimin e iniciativave të nevojshme ligjore e zbatuese, në funksion të përmirësimit të funksionimit dhe forcimit të kapaciteteve të këtij shërbimi. Masat, të cilat po ndërmerren</w:t>
      </w:r>
      <w:r>
        <w:rPr>
          <w:sz w:val="21"/>
          <w:szCs w:val="21"/>
          <w:lang w:eastAsia="ja-JP"/>
        </w:rPr>
        <w:t>,</w:t>
      </w:r>
      <w:r w:rsidRPr="006A03B7">
        <w:rPr>
          <w:sz w:val="21"/>
          <w:szCs w:val="21"/>
          <w:lang w:eastAsia="ja-JP"/>
        </w:rPr>
        <w:t xml:space="preserve"> janë:</w:t>
      </w:r>
    </w:p>
    <w:p w:rsidR="00BC2146" w:rsidRPr="006A03B7" w:rsidRDefault="00BC2146" w:rsidP="00BC2146">
      <w:pPr>
        <w:pStyle w:val="Paragrafi"/>
        <w:rPr>
          <w:sz w:val="21"/>
          <w:szCs w:val="21"/>
          <w:lang w:eastAsia="ja-JP"/>
        </w:rPr>
      </w:pPr>
      <w:r w:rsidRPr="006A03B7">
        <w:rPr>
          <w:sz w:val="21"/>
          <w:szCs w:val="21"/>
          <w:lang w:eastAsia="ja-JP"/>
        </w:rPr>
        <w:t>a) Aplikimi i sistemit të kontrollit, i cili ka sjellë një vlerësim konkret në ecurinë dhe efektivitetin e ekzekutimit të titujve ekzekutivë, nga zyrat përmbarimore;</w:t>
      </w:r>
    </w:p>
    <w:p w:rsidR="00BC2146" w:rsidRPr="006A03B7" w:rsidRDefault="00BC2146" w:rsidP="00BC2146">
      <w:pPr>
        <w:pStyle w:val="Paragrafi"/>
        <w:rPr>
          <w:sz w:val="21"/>
          <w:szCs w:val="21"/>
          <w:lang w:eastAsia="ja-JP"/>
        </w:rPr>
      </w:pPr>
      <w:r w:rsidRPr="006A03B7">
        <w:rPr>
          <w:sz w:val="21"/>
          <w:szCs w:val="21"/>
          <w:lang w:eastAsia="ja-JP"/>
        </w:rPr>
        <w:t xml:space="preserve">b) Krijimi i regjistrit </w:t>
      </w:r>
      <w:r w:rsidRPr="006A03B7">
        <w:rPr>
          <w:i/>
          <w:sz w:val="21"/>
          <w:szCs w:val="21"/>
          <w:lang w:eastAsia="ja-JP"/>
        </w:rPr>
        <w:t>on-line</w:t>
      </w:r>
      <w:r w:rsidRPr="006A03B7">
        <w:rPr>
          <w:sz w:val="21"/>
          <w:szCs w:val="21"/>
          <w:lang w:eastAsia="ja-JP"/>
        </w:rPr>
        <w:t xml:space="preserve"> për hedhjen e të dhënave fillestare të titujve ekzekutivë të regjistruar për ekzekutim në Shërbimin Përmbarimor e Gjyqësor Shtetëror dhe Privat.</w:t>
      </w:r>
    </w:p>
    <w:p w:rsidR="00BC2146" w:rsidRPr="006A03B7" w:rsidRDefault="00BC2146" w:rsidP="00BC2146">
      <w:pPr>
        <w:pStyle w:val="Paragrafi"/>
        <w:rPr>
          <w:sz w:val="21"/>
          <w:szCs w:val="21"/>
          <w:lang w:eastAsia="ja-JP"/>
        </w:rPr>
      </w:pPr>
      <w:r w:rsidRPr="006A03B7">
        <w:rPr>
          <w:sz w:val="21"/>
          <w:szCs w:val="21"/>
          <w:lang w:eastAsia="ja-JP"/>
        </w:rPr>
        <w:t>c) Krijimi i një sistemi të plotë për trajtimin dhe menaxhimin e çështjeve përmbarimore, së bashku me ngritjen e infrastrukturës së nevojshme në zbatim të këtij sistemi.</w:t>
      </w:r>
    </w:p>
    <w:p w:rsidR="00BC2146" w:rsidRPr="006A03B7" w:rsidRDefault="00BC2146" w:rsidP="00BC2146">
      <w:pPr>
        <w:pStyle w:val="Paragrafi"/>
        <w:rPr>
          <w:sz w:val="21"/>
          <w:szCs w:val="21"/>
          <w:lang w:eastAsia="ja-JP"/>
        </w:rPr>
      </w:pPr>
      <w:r w:rsidRPr="006A03B7">
        <w:rPr>
          <w:sz w:val="21"/>
          <w:szCs w:val="21"/>
          <w:lang w:eastAsia="ja-JP"/>
        </w:rPr>
        <w:t>d) Përmirësimi i infrastrukturës nëpërmjet rikonstruksionit dhe përshtatjes së ambienteve të marra rishtazi për Drejtorinë e Përgjithshme të Përmbarimit, sigurimi i ambienteve dhe mjeteve logjistike të nevojshme në funksion të detyrës për zyrat përmbarimore.</w:t>
      </w:r>
    </w:p>
    <w:p w:rsidR="00BC2146" w:rsidRPr="006A03B7" w:rsidRDefault="00BC2146" w:rsidP="00BC2146">
      <w:pPr>
        <w:pStyle w:val="Paragrafi"/>
        <w:rPr>
          <w:sz w:val="21"/>
          <w:szCs w:val="21"/>
          <w:lang w:eastAsia="ja-JP"/>
        </w:rPr>
      </w:pPr>
      <w:r w:rsidRPr="006A03B7">
        <w:rPr>
          <w:sz w:val="21"/>
          <w:szCs w:val="21"/>
          <w:lang w:eastAsia="ja-JP"/>
        </w:rPr>
        <w:t>e) Realizimi i trajnimit vazhdues, për periudhën 2009-2012, të përmbaruesve gjyqësorë, në vijim të marrëveshjes me Shkollën e Magjistraturës.</w:t>
      </w:r>
    </w:p>
    <w:p w:rsidR="00BC2146" w:rsidRPr="006A03B7" w:rsidRDefault="00BC2146" w:rsidP="00BC2146">
      <w:pPr>
        <w:pStyle w:val="Paragrafi"/>
        <w:rPr>
          <w:sz w:val="21"/>
          <w:szCs w:val="21"/>
          <w:lang w:eastAsia="ja-JP"/>
        </w:rPr>
      </w:pPr>
      <w:r w:rsidRPr="006A03B7">
        <w:rPr>
          <w:sz w:val="21"/>
          <w:szCs w:val="21"/>
          <w:lang w:eastAsia="ja-JP"/>
        </w:rPr>
        <w:t>f) Nënshkrimi i marrëveshjeve ndërinstitucionale për bashkëpunim.</w:t>
      </w:r>
    </w:p>
    <w:p w:rsidR="00BC2146" w:rsidRPr="006A03B7" w:rsidRDefault="00BC2146" w:rsidP="00BC2146">
      <w:pPr>
        <w:pStyle w:val="Paragrafi"/>
        <w:rPr>
          <w:sz w:val="21"/>
          <w:szCs w:val="21"/>
          <w:lang w:eastAsia="ja-JP"/>
        </w:rPr>
      </w:pPr>
      <w:r w:rsidRPr="006A03B7">
        <w:rPr>
          <w:sz w:val="21"/>
          <w:szCs w:val="21"/>
          <w:lang w:eastAsia="ja-JP"/>
        </w:rPr>
        <w:t>a) Trajnimi i stafit të Shërbimit të Përmbarimit Gjyqësor</w:t>
      </w:r>
    </w:p>
    <w:p w:rsidR="00BC2146" w:rsidRPr="006A03B7" w:rsidRDefault="00BC2146" w:rsidP="00BC2146">
      <w:pPr>
        <w:pStyle w:val="Paragrafi"/>
        <w:rPr>
          <w:sz w:val="21"/>
          <w:szCs w:val="21"/>
          <w:lang w:eastAsia="ja-JP"/>
        </w:rPr>
      </w:pPr>
      <w:r w:rsidRPr="006A03B7">
        <w:rPr>
          <w:sz w:val="21"/>
          <w:szCs w:val="21"/>
          <w:lang w:eastAsia="ja-JP"/>
        </w:rPr>
        <w:t>Në zbatim të detyrimit ligjor mbi trajnimin e përmbaruesve gjyqësorë, në marrëveshje me shkollën e Magjistraturës, është bërë e mundur përfshirja e tyre në programin e trajnimit vazhdues për periudhën 2009-2012.</w:t>
      </w:r>
    </w:p>
    <w:p w:rsidR="00BC2146" w:rsidRPr="006A03B7" w:rsidRDefault="00BC2146" w:rsidP="00BC2146">
      <w:pPr>
        <w:pStyle w:val="Paragrafi"/>
        <w:rPr>
          <w:sz w:val="21"/>
          <w:szCs w:val="21"/>
          <w:lang w:eastAsia="ja-JP"/>
        </w:rPr>
      </w:pPr>
      <w:r w:rsidRPr="006A03B7">
        <w:rPr>
          <w:sz w:val="21"/>
          <w:szCs w:val="21"/>
          <w:lang w:eastAsia="ja-JP"/>
        </w:rPr>
        <w:t>b) Lidhur me implementimin e ligjit nr.8510/1999, rekomandohet që:</w:t>
      </w:r>
    </w:p>
    <w:p w:rsidR="00BC2146" w:rsidRPr="006A03B7" w:rsidRDefault="00BC2146" w:rsidP="00BC2146">
      <w:pPr>
        <w:pStyle w:val="Paragrafi"/>
        <w:rPr>
          <w:sz w:val="21"/>
          <w:szCs w:val="21"/>
          <w:lang w:eastAsia="ja-JP"/>
        </w:rPr>
      </w:pPr>
      <w:r w:rsidRPr="006A03B7">
        <w:rPr>
          <w:sz w:val="21"/>
          <w:szCs w:val="21"/>
          <w:lang w:eastAsia="ja-JP"/>
        </w:rPr>
        <w:t>- Përmbajtja e ligjit të publikohet në faqet zyrtare të të gjitha institucioneve shtetërore;</w:t>
      </w:r>
    </w:p>
    <w:p w:rsidR="00BC2146" w:rsidRPr="006A03B7" w:rsidRDefault="00BC2146" w:rsidP="00BC2146">
      <w:pPr>
        <w:pStyle w:val="Paragrafi"/>
        <w:rPr>
          <w:sz w:val="21"/>
          <w:szCs w:val="21"/>
          <w:lang w:eastAsia="ja-JP"/>
        </w:rPr>
      </w:pPr>
      <w:r w:rsidRPr="006A03B7">
        <w:rPr>
          <w:sz w:val="21"/>
          <w:szCs w:val="21"/>
          <w:lang w:eastAsia="ja-JP"/>
        </w:rPr>
        <w:t>- Të informohet dhe ndërgjegjësohet publiku i gjerë lidhur me zbatimin e këtij ligji me anë të publikimit dhe shpërndarjes së manualit “Mbi marrëdhëniet e individit me administratën publike”, si dhe fletëpalosje informimi pranë zyrave të informimit të publikut;</w:t>
      </w:r>
    </w:p>
    <w:p w:rsidR="00BC2146" w:rsidRPr="006A03B7" w:rsidRDefault="00BC2146" w:rsidP="00BC2146">
      <w:pPr>
        <w:pStyle w:val="Paragrafi"/>
        <w:rPr>
          <w:sz w:val="21"/>
          <w:szCs w:val="21"/>
          <w:lang w:eastAsia="ja-JP"/>
        </w:rPr>
      </w:pPr>
      <w:r w:rsidRPr="006A03B7">
        <w:rPr>
          <w:sz w:val="21"/>
          <w:szCs w:val="21"/>
          <w:lang w:eastAsia="ja-JP"/>
        </w:rPr>
        <w:t>- Të konsiderohet mundësia e organizimit të një simpoziumi me aktorë të ndryshëm nga sistemi i drejtësisë, administrata publike, shoqëria civile etj.</w:t>
      </w:r>
    </w:p>
    <w:sectPr w:rsidR="00BC2146" w:rsidRPr="006A03B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9D24D02"/>
    <w:lvl w:ilvl="0">
      <w:start w:val="1"/>
      <w:numFmt w:val="decimal"/>
      <w:lvlText w:val="%1."/>
      <w:lvlJc w:val="left"/>
      <w:pPr>
        <w:tabs>
          <w:tab w:val="num" w:pos="1800"/>
        </w:tabs>
        <w:ind w:left="1800" w:hanging="360"/>
      </w:pPr>
    </w:lvl>
  </w:abstractNum>
  <w:abstractNum w:abstractNumId="1">
    <w:nsid w:val="FFFFFF7D"/>
    <w:multiLevelType w:val="singleLevel"/>
    <w:tmpl w:val="58AC22A0"/>
    <w:lvl w:ilvl="0">
      <w:start w:val="1"/>
      <w:numFmt w:val="decimal"/>
      <w:lvlText w:val="%1."/>
      <w:lvlJc w:val="left"/>
      <w:pPr>
        <w:tabs>
          <w:tab w:val="num" w:pos="1440"/>
        </w:tabs>
        <w:ind w:left="1440" w:hanging="360"/>
      </w:pPr>
    </w:lvl>
  </w:abstractNum>
  <w:abstractNum w:abstractNumId="2">
    <w:nsid w:val="FFFFFF7E"/>
    <w:multiLevelType w:val="singleLevel"/>
    <w:tmpl w:val="E6DE58E8"/>
    <w:lvl w:ilvl="0">
      <w:start w:val="1"/>
      <w:numFmt w:val="decimal"/>
      <w:lvlText w:val="%1."/>
      <w:lvlJc w:val="left"/>
      <w:pPr>
        <w:tabs>
          <w:tab w:val="num" w:pos="1080"/>
        </w:tabs>
        <w:ind w:left="1080" w:hanging="360"/>
      </w:pPr>
    </w:lvl>
  </w:abstractNum>
  <w:abstractNum w:abstractNumId="3">
    <w:nsid w:val="FFFFFF7F"/>
    <w:multiLevelType w:val="singleLevel"/>
    <w:tmpl w:val="9600FD30"/>
    <w:lvl w:ilvl="0">
      <w:start w:val="1"/>
      <w:numFmt w:val="decimal"/>
      <w:lvlText w:val="%1."/>
      <w:lvlJc w:val="left"/>
      <w:pPr>
        <w:tabs>
          <w:tab w:val="num" w:pos="720"/>
        </w:tabs>
        <w:ind w:left="720" w:hanging="360"/>
      </w:pPr>
    </w:lvl>
  </w:abstractNum>
  <w:abstractNum w:abstractNumId="4">
    <w:nsid w:val="FFFFFF80"/>
    <w:multiLevelType w:val="singleLevel"/>
    <w:tmpl w:val="1AEAD78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DAA54B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13C7B5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11AAEB40"/>
    <w:lvl w:ilvl="0">
      <w:start w:val="1"/>
      <w:numFmt w:val="decimal"/>
      <w:lvlText w:val="%1."/>
      <w:lvlJc w:val="left"/>
      <w:pPr>
        <w:tabs>
          <w:tab w:val="num" w:pos="360"/>
        </w:tabs>
        <w:ind w:left="360" w:hanging="360"/>
      </w:pPr>
    </w:lvl>
  </w:abstractNum>
  <w:abstractNum w:abstractNumId="9">
    <w:nsid w:val="FFFFFF89"/>
    <w:multiLevelType w:val="singleLevel"/>
    <w:tmpl w:val="37E83D32"/>
    <w:lvl w:ilvl="0">
      <w:start w:val="1"/>
      <w:numFmt w:val="bullet"/>
      <w:lvlText w:val=""/>
      <w:lvlJc w:val="left"/>
      <w:pPr>
        <w:tabs>
          <w:tab w:val="num" w:pos="360"/>
        </w:tabs>
        <w:ind w:left="360" w:hanging="360"/>
      </w:pPr>
      <w:rPr>
        <w:rFonts w:ascii="Symbol" w:hAnsi="Symbol" w:hint="default"/>
      </w:rPr>
    </w:lvl>
  </w:abstractNum>
  <w:abstractNum w:abstractNumId="1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0"/>
  </w:num>
  <w:num w:numId="4">
    <w:abstractNumId w:val="9"/>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C2146"/>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0993"/>
    <w:rsid w:val="00B1514A"/>
    <w:rsid w:val="00B179D9"/>
    <w:rsid w:val="00B4631C"/>
    <w:rsid w:val="00B55AB4"/>
    <w:rsid w:val="00B71725"/>
    <w:rsid w:val="00BA2385"/>
    <w:rsid w:val="00BC2146"/>
    <w:rsid w:val="00BD753C"/>
    <w:rsid w:val="00BF1117"/>
    <w:rsid w:val="00C13704"/>
    <w:rsid w:val="00C83146"/>
    <w:rsid w:val="00C92AC9"/>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B7010B11-597B-4AED-B743-327665E88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2146"/>
    <w:rPr>
      <w:rFonts w:ascii="Calibri" w:eastAsia="MS Mincho" w:hAnsi="Calibri"/>
      <w:sz w:val="22"/>
      <w:szCs w:val="22"/>
      <w:lang w:bidi="en-US"/>
    </w:rPr>
  </w:style>
  <w:style w:type="paragraph" w:styleId="Heading1">
    <w:name w:val="heading 1"/>
    <w:basedOn w:val="Normal"/>
    <w:next w:val="Normal"/>
    <w:link w:val="Heading1Char"/>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A303A"/>
    <w:pPr>
      <w:spacing w:before="200"/>
      <w:outlineLvl w:val="1"/>
    </w:pPr>
    <w:rPr>
      <w:rFonts w:ascii="Cambria" w:hAnsi="Cambria" w:cs="Cambria"/>
      <w:b/>
      <w:bCs/>
      <w:sz w:val="26"/>
      <w:szCs w:val="26"/>
    </w:rPr>
  </w:style>
  <w:style w:type="paragraph" w:styleId="Heading3">
    <w:name w:val="heading 3"/>
    <w:basedOn w:val="Normal"/>
    <w:next w:val="Normal"/>
    <w:link w:val="Heading3Char"/>
    <w:qFormat/>
    <w:rsid w:val="006A303A"/>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6A303A"/>
    <w:pPr>
      <w:spacing w:before="200"/>
      <w:outlineLvl w:val="3"/>
    </w:pPr>
    <w:rPr>
      <w:rFonts w:ascii="Cambria" w:hAnsi="Cambria" w:cs="Cambria"/>
      <w:b/>
      <w:bCs/>
      <w:i/>
      <w:iCs/>
    </w:rPr>
  </w:style>
  <w:style w:type="paragraph" w:styleId="Heading5">
    <w:name w:val="heading 5"/>
    <w:basedOn w:val="Normal"/>
    <w:next w:val="Normal"/>
    <w:link w:val="Heading5Char"/>
    <w:qFormat/>
    <w:rsid w:val="006A303A"/>
    <w:pPr>
      <w:spacing w:before="200"/>
      <w:outlineLvl w:val="4"/>
    </w:pPr>
    <w:rPr>
      <w:rFonts w:ascii="Cambria" w:hAnsi="Cambria" w:cs="Cambria"/>
      <w:b/>
      <w:bCs/>
      <w:color w:val="7F7F7F"/>
    </w:rPr>
  </w:style>
  <w:style w:type="paragraph" w:styleId="Heading6">
    <w:name w:val="heading 6"/>
    <w:basedOn w:val="Normal"/>
    <w:next w:val="Normal"/>
    <w:link w:val="Heading6Char"/>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6A303A"/>
    <w:pPr>
      <w:outlineLvl w:val="6"/>
    </w:pPr>
    <w:rPr>
      <w:rFonts w:ascii="Cambria" w:hAnsi="Cambria" w:cs="Cambria"/>
      <w:i/>
      <w:iCs/>
    </w:rPr>
  </w:style>
  <w:style w:type="paragraph" w:styleId="Heading8">
    <w:name w:val="heading 8"/>
    <w:basedOn w:val="Normal"/>
    <w:next w:val="Normal"/>
    <w:link w:val="Heading8Char"/>
    <w:qFormat/>
    <w:rsid w:val="006A303A"/>
    <w:pPr>
      <w:outlineLvl w:val="7"/>
    </w:pPr>
    <w:rPr>
      <w:rFonts w:ascii="Cambria" w:hAnsi="Cambria" w:cs="Cambria"/>
      <w:sz w:val="20"/>
      <w:szCs w:val="20"/>
    </w:rPr>
  </w:style>
  <w:style w:type="paragraph" w:styleId="Heading9">
    <w:name w:val="heading 9"/>
    <w:basedOn w:val="Normal"/>
    <w:next w:val="Normal"/>
    <w:link w:val="Heading9Char"/>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Heading1Char">
    <w:name w:val="Heading 1 Char"/>
    <w:basedOn w:val="DefaultParagraphFont"/>
    <w:link w:val="Heading1"/>
    <w:rsid w:val="00BC2146"/>
    <w:rPr>
      <w:rFonts w:ascii="Arial" w:eastAsia="MS Mincho" w:hAnsi="Arial" w:cs="Arial"/>
      <w:b/>
      <w:bCs/>
      <w:kern w:val="32"/>
      <w:sz w:val="32"/>
      <w:szCs w:val="32"/>
      <w:lang w:val="en-US" w:eastAsia="en-US" w:bidi="ar-SA"/>
    </w:rPr>
  </w:style>
  <w:style w:type="character" w:customStyle="1" w:styleId="Heading2Char">
    <w:name w:val="Heading 2 Char"/>
    <w:basedOn w:val="DefaultParagraphFont"/>
    <w:link w:val="Heading2"/>
    <w:rsid w:val="00BC2146"/>
    <w:rPr>
      <w:rFonts w:ascii="Cambria" w:eastAsia="MS Mincho" w:hAnsi="Cambria" w:cs="Cambria"/>
      <w:b/>
      <w:bCs/>
      <w:sz w:val="26"/>
      <w:szCs w:val="26"/>
      <w:lang w:val="en-US" w:eastAsia="en-US" w:bidi="ar-SA"/>
    </w:rPr>
  </w:style>
  <w:style w:type="character" w:customStyle="1" w:styleId="Heading3Char">
    <w:name w:val="Heading 3 Char"/>
    <w:basedOn w:val="DefaultParagraphFont"/>
    <w:link w:val="Heading3"/>
    <w:rsid w:val="00BC2146"/>
    <w:rPr>
      <w:rFonts w:ascii="Cambria" w:eastAsia="MS Mincho" w:hAnsi="Cambria" w:cs="Cambria"/>
      <w:b/>
      <w:bCs/>
      <w:sz w:val="24"/>
      <w:szCs w:val="24"/>
      <w:lang w:val="en-US" w:eastAsia="en-US" w:bidi="ar-SA"/>
    </w:rPr>
  </w:style>
  <w:style w:type="character" w:customStyle="1" w:styleId="Heading4Char">
    <w:name w:val="Heading 4 Char"/>
    <w:basedOn w:val="DefaultParagraphFont"/>
    <w:link w:val="Heading4"/>
    <w:semiHidden/>
    <w:rsid w:val="00BC2146"/>
    <w:rPr>
      <w:rFonts w:ascii="Cambria" w:eastAsia="MS Mincho" w:hAnsi="Cambria" w:cs="Cambria"/>
      <w:b/>
      <w:bCs/>
      <w:i/>
      <w:iCs/>
      <w:sz w:val="24"/>
      <w:szCs w:val="24"/>
      <w:lang w:val="en-US" w:eastAsia="en-US" w:bidi="ar-SA"/>
    </w:rPr>
  </w:style>
  <w:style w:type="character" w:customStyle="1" w:styleId="Heading5Char">
    <w:name w:val="Heading 5 Char"/>
    <w:basedOn w:val="DefaultParagraphFont"/>
    <w:link w:val="Heading5"/>
    <w:semiHidden/>
    <w:rsid w:val="00BC2146"/>
    <w:rPr>
      <w:rFonts w:ascii="Cambria" w:eastAsia="MS Mincho" w:hAnsi="Cambria" w:cs="Cambria"/>
      <w:b/>
      <w:bCs/>
      <w:color w:val="7F7F7F"/>
      <w:sz w:val="24"/>
      <w:szCs w:val="24"/>
      <w:lang w:val="en-US" w:eastAsia="en-US" w:bidi="ar-SA"/>
    </w:rPr>
  </w:style>
  <w:style w:type="character" w:customStyle="1" w:styleId="Heading6Char">
    <w:name w:val="Heading 6 Char"/>
    <w:basedOn w:val="DefaultParagraphFont"/>
    <w:link w:val="Heading6"/>
    <w:semiHidden/>
    <w:rsid w:val="00BC2146"/>
    <w:rPr>
      <w:rFonts w:ascii="Cambria" w:eastAsia="MS Mincho" w:hAnsi="Cambria" w:cs="Cambria"/>
      <w:b/>
      <w:bCs/>
      <w:i/>
      <w:iCs/>
      <w:color w:val="7F7F7F"/>
      <w:sz w:val="24"/>
      <w:szCs w:val="24"/>
      <w:lang w:val="en-US" w:eastAsia="en-US" w:bidi="ar-SA"/>
    </w:rPr>
  </w:style>
  <w:style w:type="character" w:customStyle="1" w:styleId="Heading7Char">
    <w:name w:val="Heading 7 Char"/>
    <w:basedOn w:val="DefaultParagraphFont"/>
    <w:link w:val="Heading7"/>
    <w:semiHidden/>
    <w:rsid w:val="00BC2146"/>
    <w:rPr>
      <w:rFonts w:ascii="Cambria" w:eastAsia="MS Mincho" w:hAnsi="Cambria" w:cs="Cambria"/>
      <w:i/>
      <w:iCs/>
      <w:sz w:val="24"/>
      <w:szCs w:val="24"/>
      <w:lang w:val="en-US" w:eastAsia="en-US" w:bidi="ar-SA"/>
    </w:rPr>
  </w:style>
  <w:style w:type="character" w:customStyle="1" w:styleId="Heading8Char">
    <w:name w:val="Heading 8 Char"/>
    <w:basedOn w:val="DefaultParagraphFont"/>
    <w:link w:val="Heading8"/>
    <w:semiHidden/>
    <w:rsid w:val="00BC2146"/>
    <w:rPr>
      <w:rFonts w:ascii="Cambria" w:eastAsia="MS Mincho" w:hAnsi="Cambria" w:cs="Cambria"/>
      <w:lang w:val="en-US" w:eastAsia="en-US" w:bidi="ar-SA"/>
    </w:rPr>
  </w:style>
  <w:style w:type="character" w:customStyle="1" w:styleId="Heading9Char">
    <w:name w:val="Heading 9 Char"/>
    <w:basedOn w:val="DefaultParagraphFont"/>
    <w:link w:val="Heading9"/>
    <w:semiHidden/>
    <w:rsid w:val="00BC2146"/>
    <w:rPr>
      <w:rFonts w:ascii="Cambria" w:eastAsia="MS Mincho" w:hAnsi="Cambria" w:cs="Cambria"/>
      <w:i/>
      <w:iCs/>
      <w:spacing w:val="5"/>
      <w:lang w:val="en-US" w:eastAsia="en-US" w:bidi="ar-SA"/>
    </w:rPr>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link w:val="BalloonTextChar"/>
    <w:semiHidden/>
    <w:rsid w:val="006A303A"/>
    <w:rPr>
      <w:rFonts w:ascii="Lucida Grande" w:hAnsi="Lucida Grande" w:cs="Lucida Grande"/>
      <w:sz w:val="18"/>
      <w:szCs w:val="18"/>
    </w:rPr>
  </w:style>
  <w:style w:type="character" w:customStyle="1" w:styleId="BalloonTextChar">
    <w:name w:val="Balloon Text Char"/>
    <w:basedOn w:val="DefaultParagraphFont"/>
    <w:link w:val="BalloonText"/>
    <w:semiHidden/>
    <w:rsid w:val="00BC2146"/>
    <w:rPr>
      <w:rFonts w:ascii="Lucida Grande" w:eastAsia="MS Mincho" w:hAnsi="Lucida Grande" w:cs="Lucida Grande"/>
      <w:sz w:val="18"/>
      <w:szCs w:val="18"/>
      <w:lang w:val="en-US" w:eastAsia="en-US" w:bidi="ar-SA"/>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style>
  <w:style w:type="character" w:customStyle="1" w:styleId="BodyTextChar">
    <w:name w:val="Body Text Char"/>
    <w:basedOn w:val="DefaultParagraphFont"/>
    <w:link w:val="BodyText"/>
    <w:rsid w:val="00BC2146"/>
    <w:rPr>
      <w:rFonts w:eastAsia="MS Mincho"/>
      <w:sz w:val="24"/>
      <w:szCs w:val="24"/>
      <w:lang w:val="en-US" w:eastAsia="en-US" w:bidi="ar-SA"/>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style>
  <w:style w:type="character" w:customStyle="1" w:styleId="FooterChar">
    <w:name w:val="Footer Char"/>
    <w:basedOn w:val="DefaultParagraphFont"/>
    <w:link w:val="Footer"/>
    <w:rsid w:val="00BC2146"/>
    <w:rPr>
      <w:rFonts w:eastAsia="MS Mincho"/>
      <w:sz w:val="24"/>
      <w:szCs w:val="24"/>
      <w:lang w:val="en-US" w:eastAsia="en-US" w:bidi="ar-SA"/>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lang w:val="en-GB"/>
    </w:rPr>
  </w:style>
  <w:style w:type="paragraph" w:customStyle="1" w:styleId="Listbullet">
    <w:name w:val="List bullet"/>
    <w:basedOn w:val="Normal"/>
    <w:rsid w:val="006A303A"/>
    <w:pPr>
      <w:widowControl w:val="0"/>
      <w:spacing w:after="120"/>
    </w:pPr>
    <w:rPr>
      <w:rFonts w:ascii="Trebuchet MS" w:hAnsi="Trebuchet MS" w:cs="Trebuchet MS"/>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itleChar">
    <w:name w:val="Subtitle Char"/>
    <w:basedOn w:val="DefaultParagraphFont"/>
    <w:link w:val="Subtitle"/>
    <w:rsid w:val="00BC2146"/>
    <w:rPr>
      <w:rFonts w:ascii="Cambria" w:hAnsi="Cambria" w:cs="Cambria"/>
      <w:i/>
      <w:iCs/>
      <w:spacing w:val="13"/>
      <w:sz w:val="24"/>
      <w:szCs w:val="24"/>
      <w:lang w:val="en-US" w:eastAsia="en-US" w:bidi="ar-SA"/>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BC2146"/>
    <w:rPr>
      <w:rFonts w:ascii="Cambria" w:hAnsi="Cambria" w:cs="Cambria"/>
      <w:spacing w:val="5"/>
      <w:sz w:val="52"/>
      <w:szCs w:val="52"/>
      <w:lang w:val="en-US" w:eastAsia="en-US" w:bidi="ar-SA"/>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
    <w:name w:val="Titulli Char"/>
    <w:basedOn w:val="DefaultParagraphFont"/>
    <w:link w:val="Titulli"/>
    <w:rsid w:val="00BC2146"/>
    <w:rPr>
      <w:rFonts w:ascii="CG Times" w:eastAsia="MS Mincho" w:hAnsi="CG Times" w:cs="CG Times"/>
      <w:b/>
      <w:bCs/>
      <w:caps/>
      <w:sz w:val="22"/>
      <w:szCs w:val="22"/>
      <w:lang w:val="en-GB" w:eastAsia="en-US" w:bidi="ar-SA"/>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styleId="NoSpacing">
    <w:name w:val="No Spacing"/>
    <w:basedOn w:val="Normal"/>
    <w:qFormat/>
    <w:rsid w:val="00BC2146"/>
  </w:style>
  <w:style w:type="paragraph" w:styleId="Quote">
    <w:name w:val="Quote"/>
    <w:basedOn w:val="Normal"/>
    <w:next w:val="Normal"/>
    <w:link w:val="QuoteChar"/>
    <w:qFormat/>
    <w:rsid w:val="00BC2146"/>
    <w:pPr>
      <w:spacing w:before="200"/>
      <w:ind w:left="360" w:right="360"/>
    </w:pPr>
    <w:rPr>
      <w:i/>
      <w:iCs/>
    </w:rPr>
  </w:style>
  <w:style w:type="character" w:customStyle="1" w:styleId="QuoteChar">
    <w:name w:val="Quote Char"/>
    <w:basedOn w:val="DefaultParagraphFont"/>
    <w:link w:val="Quote"/>
    <w:rsid w:val="00BC2146"/>
    <w:rPr>
      <w:rFonts w:ascii="Calibri" w:eastAsia="MS Mincho" w:hAnsi="Calibri"/>
      <w:i/>
      <w:iCs/>
      <w:sz w:val="22"/>
      <w:szCs w:val="22"/>
      <w:lang w:val="en-US" w:eastAsia="en-US" w:bidi="en-US"/>
    </w:rPr>
  </w:style>
  <w:style w:type="paragraph" w:styleId="IntenseQuote">
    <w:name w:val="Intense Quote"/>
    <w:basedOn w:val="Normal"/>
    <w:next w:val="Normal"/>
    <w:link w:val="IntenseQuoteChar"/>
    <w:qFormat/>
    <w:rsid w:val="00BC2146"/>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BC2146"/>
    <w:rPr>
      <w:rFonts w:ascii="Calibri" w:eastAsia="MS Mincho" w:hAnsi="Calibri"/>
      <w:b/>
      <w:bCs/>
      <w:i/>
      <w:iCs/>
      <w:sz w:val="22"/>
      <w:szCs w:val="22"/>
      <w:lang w:val="en-US" w:eastAsia="en-US" w:bidi="en-US"/>
    </w:rPr>
  </w:style>
  <w:style w:type="character" w:styleId="SubtleEmphasis">
    <w:name w:val="Subtle Emphasis"/>
    <w:qFormat/>
    <w:rsid w:val="00BC2146"/>
    <w:rPr>
      <w:i/>
      <w:iCs/>
    </w:rPr>
  </w:style>
  <w:style w:type="character" w:styleId="IntenseEmphasis">
    <w:name w:val="Intense Emphasis"/>
    <w:qFormat/>
    <w:rsid w:val="00BC2146"/>
    <w:rPr>
      <w:b/>
      <w:bCs/>
    </w:rPr>
  </w:style>
  <w:style w:type="character" w:styleId="SubtleReference">
    <w:name w:val="Subtle Reference"/>
    <w:qFormat/>
    <w:rsid w:val="00BC2146"/>
    <w:rPr>
      <w:smallCaps/>
    </w:rPr>
  </w:style>
  <w:style w:type="character" w:styleId="IntenseReference">
    <w:name w:val="Intense Reference"/>
    <w:qFormat/>
    <w:rsid w:val="00BC2146"/>
    <w:rPr>
      <w:smallCaps/>
      <w:spacing w:val="5"/>
      <w:u w:val="single"/>
    </w:rPr>
  </w:style>
  <w:style w:type="character" w:styleId="BookTitle">
    <w:name w:val="Book Title"/>
    <w:qFormat/>
    <w:rsid w:val="00BC2146"/>
    <w:rPr>
      <w:i/>
      <w:iCs/>
      <w:smallCaps/>
      <w:spacing w:val="5"/>
    </w:rPr>
  </w:style>
  <w:style w:type="paragraph" w:styleId="TOCHeading">
    <w:name w:val="TOC Heading"/>
    <w:basedOn w:val="Heading1"/>
    <w:next w:val="Normal"/>
    <w:qFormat/>
    <w:rsid w:val="00BC2146"/>
    <w:pPr>
      <w:keepNext w:val="0"/>
      <w:spacing w:before="480" w:after="0"/>
      <w:contextualSpacing/>
      <w:outlineLvl w:val="9"/>
    </w:pPr>
    <w:rPr>
      <w:rFonts w:ascii="Cambria" w:eastAsia="Times New Roman" w:hAnsi="Cambria" w:cs="Times New Roman"/>
      <w:kern w:val="0"/>
      <w:sz w:val="28"/>
      <w:szCs w:val="28"/>
    </w:rPr>
  </w:style>
  <w:style w:type="paragraph" w:styleId="NoteHeading">
    <w:name w:val="Note Heading"/>
    <w:basedOn w:val="Normal"/>
    <w:next w:val="Normal"/>
    <w:rsid w:val="00BC2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3579</Words>
  <Characters>20403</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23935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2019-03-19T14:21:00Z</dcterms:created>
  <dcterms:modified xsi:type="dcterms:W3CDTF">2019-03-19T14:21:00Z</dcterms:modified>
</cp:coreProperties>
</file>