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BA0" w:rsidRPr="005C4F93" w:rsidRDefault="00503BA0" w:rsidP="00503BA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C4F93">
        <w:rPr>
          <w:sz w:val="21"/>
          <w:szCs w:val="21"/>
          <w:lang w:val="sq-AL"/>
        </w:rPr>
        <w:t>VENDIM</w:t>
      </w:r>
    </w:p>
    <w:p w:rsidR="00503BA0" w:rsidRPr="005C4F93" w:rsidRDefault="00503BA0" w:rsidP="00503BA0">
      <w:pPr>
        <w:pStyle w:val="NumriData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Nr.418, datë 8.6.2011</w:t>
      </w:r>
    </w:p>
    <w:p w:rsidR="00503BA0" w:rsidRPr="005C4F93" w:rsidRDefault="00503BA0" w:rsidP="00503BA0">
      <w:pPr>
        <w:pStyle w:val="Titull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br/>
        <w:t>PËR  PROCEDURËN E HEQJES SË LICENCËS SË NDËRMJETËSIT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br/>
        <w:t xml:space="preserve">          Në mbështetje të nenit 100 të Kushtetutës, të pikës 3 të nenit 6 të ligjit nr.10 385, datë 24.2.2011 “Për ndërmjetësimin në zgjidhjen e mosmarrëveshjeve” dhe të ligjit nr.10 081, datë 23.2.2009 “Për licencat, autorizimet dhe lejet në Republikën e Shqipërisë”, të ndryshuar, me propozimin e Ministrit të Drejtësisë, Këshilli i Ministrave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</w:p>
    <w:p w:rsidR="00503BA0" w:rsidRPr="005C4F93" w:rsidRDefault="00503BA0" w:rsidP="00503BA0">
      <w:pPr>
        <w:pStyle w:val="VENDOS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VENDOSI: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1. Komisioni i Licencimit të Ndërmjetësve i heq licencën çdo subjekti, që ushtron veprimtarinë si ndërmjetës, në rastet e mëposhtme: 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a) Me kërkesën e tij;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b) Në rast se humbet apo i kufizohet zotësia për të vepruar;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c) Kur dënohet me vendim të formës së prerë për një vepër penale, të kryer me dashje;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ç) Kur vërtetohet shkelja e dispozitave urdhëruese dhe ndaluese të ligjit nr.10 385, datë 24.2.2011 “Për  ndërmjetësimin në zgjidhjen e mosmarrëveshjeve”;</w:t>
      </w:r>
    </w:p>
    <w:p w:rsidR="00503BA0" w:rsidRPr="005C4F93" w:rsidRDefault="00503BA0" w:rsidP="00503BA0">
      <w:pPr>
        <w:pStyle w:val="Paragrafi"/>
        <w:ind w:firstLine="0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          d) Për shkelje të rënda të normave të Kodit të Etikës;</w:t>
      </w:r>
    </w:p>
    <w:p w:rsidR="00503BA0" w:rsidRPr="005C4F93" w:rsidRDefault="00503BA0" w:rsidP="00503BA0">
      <w:pPr>
        <w:pStyle w:val="Paragrafi"/>
        <w:ind w:firstLine="0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          dh) Në çdo rast tjetër, kur parashikohet shprehimisht në ligj.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2. Procedura e heqjes së licencës fillon brenda 6 (gjashtë) muajve, por jo më vonë se 3 (tre) vjet nga kryerja e shkeljes. Kjo procedurë fillon me kërkesë të subjekteve të interesuara ose kryesisht nga Komisioni i Licencimit të Ndërmjetësve. Kur procedimi fillon me kërkesë të subjekteve të interesuara, kërkesa paraqitet pranë sekretarit të Komisionit dhe duhet të plotësojë këto kushte: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a) Të hartohet me shkrim;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b) Të identifikojë ndërmjetësin, i cili pretendohet se ka kryer shkeljen;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c) Të përcaktojë veprimin konkret, që pretendohet se përbën shkelje, dhe rrethanat e kryerjes së tij;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d)  Të shoqërohet me akte të tjera të nevojshme që provojnë kryerjen e shkeljes.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3. Ndërmjetësi, ndaj të cilit ka filluar procedimi, ka të drejtë: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a) të informohet në mënyrë të qartë dhe të hollësishme për shkeljet që pretendohen dhe faktet rreth tyre;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b) të formulojë pretendime dhe kërkesa; 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c) të njihet me dokumentet e procedimit dhe të depozitojë prova të mjaftueshme;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ç) të ketë asistencën e një avokati ose të një kolegu gjatë procedimit dhe të dëgjohet në prani të tij;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d) të kërkojë thirrjen dhe dëgjimin e dëshmitarëve, si dhe të paraqesë dokumente të tjera në mbrojtje të tij, jo më vonë se 2 (dy) javë nga fillimi i procedimit.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4. Komisioni, pas shqyrtimit të fakteve, rrethanave, si dhe pretendimeve të paraqitura nga palët gjatë procedimit, në rast se çmon se vërtetohet një prej rasteve të heqjes së licencës, vendos heqjen e saj. Për zhvillimin e mbledhjes zbatohen rregullat e parashikuara në vendimin nr.414, datë 8.6.2011 të  Këshillit të Ministrave “Për krijimin dhe mënyrën e organizmit e të funksionimit të Komisionit të Licencimit të Ndërmjetësve”.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5. Vendimi i Komisionit për heqjen e licencës përmban të dhëna për: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a)  organin që ka marrë vendimin;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b) identifikimin e ndërmjetësit, të cilit i hiqet licenca, dhe të dhënat e licencës;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c)  shkeljen faktike;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ç)  bazën ligjore;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d) rrethanat e çështjes, ashtu siç janë konstatuar gjatë procedimit, dhe përfundimet e nxjerra nga Komisioni;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dh) provat dhe arsyet në të cilat mbështetet vendimi;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e) të drejtën për të bërë ankim, afatin për paraqitjen e tij dhe organin përgjegjës për zgjidhjen </w:t>
      </w:r>
      <w:r w:rsidRPr="005C4F93">
        <w:rPr>
          <w:sz w:val="21"/>
          <w:szCs w:val="21"/>
          <w:lang w:val="sq-AL"/>
        </w:rPr>
        <w:lastRenderedPageBreak/>
        <w:t xml:space="preserve">e tij.  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>6. Kundër vendimit të Komisionit, kërkuesit mund të paraqesin ankim pranë Ministrit të Drejtësisë. Kundër vendimit të Ministrit të Drejtësisë mund të bëhet ankim në gjykatë.  Paraqitja dhe shqyrtimi i ankimeve bëhen sipas rregullave dhe afateve të parashikuara në ligj për shqyrtimin e mosmarrëveshjeve administrative.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7. Pas heqjes së licencës së ushtrimit të profesionit, Komisioni i paraqet strukturës përgjegjëse në Ministrinë e Drejtësisë për administrimin e Regjistrit të Ndërmjetësve, vendimin për heqjen e licencës  me qëllim bërjen e shënimit përkatës në regjistër, si dhe në Regjistrin Kombëtar të Lejeve dhe Licencave, i cili mbahet nga Qendra Kombëtare e Licencimit. 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8. Ngarkohet Ministri i Drejtësisë për zbatimin e këtij vendimi. </w:t>
      </w:r>
    </w:p>
    <w:p w:rsidR="00503BA0" w:rsidRPr="005C4F93" w:rsidRDefault="00503BA0" w:rsidP="00503BA0">
      <w:pPr>
        <w:pStyle w:val="Paragrafi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t xml:space="preserve">Ky vendim hyn në fuqi pas botimit në Fletoren Zyrtare. </w:t>
      </w:r>
    </w:p>
    <w:p w:rsidR="00503BA0" w:rsidRPr="005C4F93" w:rsidRDefault="00503BA0" w:rsidP="00503BA0">
      <w:pPr>
        <w:pStyle w:val="AutoritetiEmer"/>
        <w:rPr>
          <w:sz w:val="21"/>
          <w:szCs w:val="21"/>
          <w:lang w:val="sq-AL"/>
        </w:rPr>
      </w:pPr>
      <w:r w:rsidRPr="005C4F93">
        <w:rPr>
          <w:sz w:val="21"/>
          <w:szCs w:val="21"/>
          <w:lang w:val="sq-AL"/>
        </w:rPr>
        <w:br/>
      </w:r>
      <w:r w:rsidRPr="005C4F93">
        <w:rPr>
          <w:b w:val="0"/>
          <w:sz w:val="21"/>
          <w:szCs w:val="21"/>
          <w:lang w:val="sq-AL"/>
        </w:rPr>
        <w:t>KRYEMINISTRI</w:t>
      </w:r>
      <w:r w:rsidRPr="005C4F93">
        <w:rPr>
          <w:b w:val="0"/>
          <w:sz w:val="21"/>
          <w:szCs w:val="21"/>
          <w:lang w:val="sq-AL"/>
        </w:rPr>
        <w:br/>
      </w:r>
      <w:r w:rsidRPr="005C4F93">
        <w:rPr>
          <w:sz w:val="21"/>
          <w:szCs w:val="21"/>
          <w:lang w:val="sq-AL"/>
        </w:rPr>
        <w:t>Sali Berisha</w:t>
      </w:r>
    </w:p>
    <w:sectPr w:rsidR="00503BA0" w:rsidRPr="005C4F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BA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03BA0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B44FB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A38404-49B0-4379-A5C3-914AED20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EmerChar">
    <w:name w:val="Autoriteti_Emer Char"/>
    <w:basedOn w:val="DefaultParagraphFont"/>
    <w:link w:val="AutoritetiEmer"/>
    <w:locked/>
    <w:rsid w:val="00503BA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03BA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2019-03-19T14:26:00Z</dcterms:created>
  <dcterms:modified xsi:type="dcterms:W3CDTF">2019-03-19T14:26:00Z</dcterms:modified>
</cp:coreProperties>
</file>