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74C2" w:rsidRPr="00FD050A" w:rsidRDefault="005874C2" w:rsidP="005874C2">
      <w:pPr>
        <w:pStyle w:val="Akti"/>
        <w:keepNext w:val="0"/>
        <w:rPr>
          <w:sz w:val="21"/>
          <w:szCs w:val="21"/>
        </w:rPr>
      </w:pPr>
      <w:bookmarkStart w:id="0" w:name="_GoBack"/>
      <w:bookmarkEnd w:id="0"/>
      <w:r w:rsidRPr="00FD050A">
        <w:rPr>
          <w:sz w:val="21"/>
          <w:szCs w:val="21"/>
        </w:rPr>
        <w:t>VENDIM</w:t>
      </w:r>
    </w:p>
    <w:p w:rsidR="005874C2" w:rsidRPr="00FD050A" w:rsidRDefault="005874C2" w:rsidP="005874C2">
      <w:pPr>
        <w:pStyle w:val="NumriData"/>
        <w:keepNext w:val="0"/>
        <w:rPr>
          <w:rFonts w:ascii="Times New Roman" w:hAnsi="Times New Roman"/>
          <w:sz w:val="21"/>
          <w:szCs w:val="21"/>
        </w:rPr>
      </w:pPr>
      <w:r w:rsidRPr="00FD050A">
        <w:rPr>
          <w:sz w:val="21"/>
          <w:szCs w:val="21"/>
        </w:rPr>
        <w:t>Nr.446, datë 22.6.2011 </w:t>
      </w:r>
    </w:p>
    <w:p w:rsidR="005874C2" w:rsidRPr="00FD050A" w:rsidRDefault="005874C2" w:rsidP="005874C2">
      <w:pPr>
        <w:pStyle w:val="Paragrafi"/>
        <w:rPr>
          <w:sz w:val="21"/>
          <w:szCs w:val="21"/>
          <w:lang w:val="sq-AL"/>
        </w:rPr>
      </w:pPr>
    </w:p>
    <w:p w:rsidR="005874C2" w:rsidRPr="00FD050A" w:rsidRDefault="005874C2" w:rsidP="005874C2">
      <w:pPr>
        <w:pStyle w:val="Titulli"/>
        <w:keepNext w:val="0"/>
        <w:rPr>
          <w:rFonts w:ascii="Times New Roman" w:hAnsi="Times New Roman"/>
          <w:sz w:val="21"/>
          <w:szCs w:val="21"/>
        </w:rPr>
      </w:pPr>
      <w:r w:rsidRPr="00FD050A">
        <w:rPr>
          <w:sz w:val="21"/>
          <w:szCs w:val="21"/>
        </w:rPr>
        <w:t>PËR PJESËMARRJEN DHE LEJIMIN E EKSPOZIMIT TË DISA DOKUMENTEVE ORIGJINALE NË E</w:t>
      </w:r>
      <w:r>
        <w:rPr>
          <w:sz w:val="21"/>
          <w:szCs w:val="21"/>
        </w:rPr>
        <w:t>KSPOZITËN “SHKËLQIMI I BIZANTIT.</w:t>
      </w:r>
      <w:r w:rsidRPr="00FD050A">
        <w:rPr>
          <w:sz w:val="21"/>
          <w:szCs w:val="21"/>
        </w:rPr>
        <w:t xml:space="preserve"> DORËSHKRIME BIZANTINE TË DEKORUARA NË BALLKAN, SHEK.VI-XII”</w:t>
      </w:r>
    </w:p>
    <w:p w:rsidR="005874C2" w:rsidRPr="00FD050A" w:rsidRDefault="005874C2" w:rsidP="005874C2">
      <w:pPr>
        <w:pStyle w:val="Paragrafi"/>
        <w:rPr>
          <w:rFonts w:ascii="Times New Roman" w:hAnsi="Times New Roman"/>
          <w:sz w:val="21"/>
          <w:szCs w:val="21"/>
        </w:rPr>
      </w:pPr>
      <w:r w:rsidRPr="00FD050A">
        <w:rPr>
          <w:sz w:val="21"/>
          <w:szCs w:val="21"/>
          <w:lang w:val="sq-AL"/>
        </w:rPr>
        <w:t> </w:t>
      </w:r>
    </w:p>
    <w:p w:rsidR="005874C2" w:rsidRPr="00FD050A" w:rsidRDefault="005874C2" w:rsidP="005874C2">
      <w:pPr>
        <w:pStyle w:val="Paragrafi"/>
        <w:rPr>
          <w:rFonts w:ascii="Times New Roman" w:hAnsi="Times New Roman"/>
          <w:sz w:val="21"/>
          <w:szCs w:val="21"/>
        </w:rPr>
      </w:pPr>
      <w:r w:rsidRPr="00FD050A">
        <w:rPr>
          <w:sz w:val="21"/>
          <w:szCs w:val="21"/>
          <w:lang w:val="sq-AL"/>
        </w:rPr>
        <w:t>Në mbështetje të nenit 100 të Kushtetutës dhe të nenit 83 të ligjit nr.9154, datë 6.11.2003 “Për arkivat”, me propozimin e Kryeministrit, Këshilli i Ministrave</w:t>
      </w:r>
    </w:p>
    <w:p w:rsidR="005874C2" w:rsidRPr="00FD050A" w:rsidRDefault="005874C2" w:rsidP="005874C2">
      <w:pPr>
        <w:pStyle w:val="Paragrafi"/>
        <w:rPr>
          <w:rFonts w:ascii="Times New Roman" w:hAnsi="Times New Roman"/>
          <w:sz w:val="21"/>
          <w:szCs w:val="21"/>
        </w:rPr>
      </w:pPr>
      <w:r w:rsidRPr="00FD050A">
        <w:rPr>
          <w:sz w:val="21"/>
          <w:szCs w:val="21"/>
          <w:lang w:val="sq-AL"/>
        </w:rPr>
        <w:t> </w:t>
      </w:r>
    </w:p>
    <w:p w:rsidR="005874C2" w:rsidRPr="00FD050A" w:rsidRDefault="005874C2" w:rsidP="005874C2">
      <w:pPr>
        <w:pStyle w:val="VENDOSI"/>
        <w:keepNext w:val="0"/>
        <w:rPr>
          <w:rFonts w:ascii="Times New Roman" w:hAnsi="Times New Roman"/>
          <w:sz w:val="21"/>
          <w:szCs w:val="21"/>
        </w:rPr>
      </w:pPr>
      <w:r w:rsidRPr="00FD050A">
        <w:rPr>
          <w:sz w:val="21"/>
          <w:szCs w:val="21"/>
        </w:rPr>
        <w:t> VENDOSI:</w:t>
      </w:r>
    </w:p>
    <w:p w:rsidR="005874C2" w:rsidRPr="00FD050A" w:rsidRDefault="005874C2" w:rsidP="005874C2">
      <w:pPr>
        <w:pStyle w:val="Paragrafi"/>
        <w:rPr>
          <w:rFonts w:ascii="Times New Roman" w:hAnsi="Times New Roman"/>
          <w:sz w:val="21"/>
          <w:szCs w:val="21"/>
        </w:rPr>
      </w:pPr>
      <w:r w:rsidRPr="00FD050A">
        <w:rPr>
          <w:sz w:val="21"/>
          <w:szCs w:val="21"/>
          <w:lang w:val="sq-AL"/>
        </w:rPr>
        <w:t> </w:t>
      </w:r>
    </w:p>
    <w:p w:rsidR="005874C2" w:rsidRPr="00FD050A" w:rsidRDefault="005874C2" w:rsidP="005874C2">
      <w:pPr>
        <w:pStyle w:val="Paragrafi"/>
        <w:rPr>
          <w:rFonts w:ascii="Times New Roman" w:hAnsi="Times New Roman"/>
          <w:sz w:val="21"/>
          <w:szCs w:val="21"/>
        </w:rPr>
      </w:pPr>
      <w:r w:rsidRPr="00FD050A">
        <w:rPr>
          <w:sz w:val="21"/>
          <w:szCs w:val="21"/>
          <w:lang w:val="sq-AL"/>
        </w:rPr>
        <w:t>1.</w:t>
      </w:r>
      <w:r w:rsidRPr="00FD050A">
        <w:rPr>
          <w:rFonts w:ascii="Times New Roman" w:hAnsi="Times New Roman"/>
          <w:sz w:val="21"/>
          <w:szCs w:val="21"/>
          <w:lang w:val="sq-AL"/>
        </w:rPr>
        <w:t>  </w:t>
      </w:r>
      <w:r w:rsidRPr="00FD050A">
        <w:rPr>
          <w:sz w:val="21"/>
          <w:szCs w:val="21"/>
          <w:lang w:val="sq-AL"/>
        </w:rPr>
        <w:t>Lejimin e Drejtorisë së Përgjithshme të Arkivave të marrë pjesë dhe të ekspozojë dokumentet origjinale, në ekspozitën “Shkëlqimi i Bizantit. Dorëshkrime bizantine të dekoruara në Ballkan, shek.VI-XII”, që hapet në Galerinë Kombëtare të Arteve në Sofje, Bullgari, sipas listës që i bashkëlidhet këtij vendimi dhe është pjesë përbërëse e tij.</w:t>
      </w:r>
    </w:p>
    <w:p w:rsidR="005874C2" w:rsidRPr="00FD050A" w:rsidRDefault="005874C2" w:rsidP="005874C2">
      <w:pPr>
        <w:pStyle w:val="Paragrafi"/>
        <w:rPr>
          <w:rFonts w:ascii="Times New Roman" w:hAnsi="Times New Roman"/>
          <w:sz w:val="21"/>
          <w:szCs w:val="21"/>
        </w:rPr>
      </w:pPr>
      <w:r w:rsidRPr="00FD050A">
        <w:rPr>
          <w:sz w:val="21"/>
          <w:szCs w:val="21"/>
          <w:lang w:val="sq-AL"/>
        </w:rPr>
        <w:t> 2.</w:t>
      </w:r>
      <w:r w:rsidRPr="00FD050A">
        <w:rPr>
          <w:rFonts w:ascii="Times New Roman" w:hAnsi="Times New Roman"/>
          <w:sz w:val="21"/>
          <w:szCs w:val="21"/>
          <w:lang w:val="sq-AL"/>
        </w:rPr>
        <w:t>  </w:t>
      </w:r>
      <w:r w:rsidRPr="00FD050A">
        <w:rPr>
          <w:sz w:val="21"/>
          <w:szCs w:val="21"/>
          <w:lang w:val="sq-AL"/>
        </w:rPr>
        <w:t>Dokumentet do të qëndrojnë të ekspozuara nga data 22 gusht 2011 deri në datën 25 shtator 2011 dhe rikthimi i tyre në vendruajtjen e përhershme do të bëhet në datën 2 tetor 2011.</w:t>
      </w:r>
    </w:p>
    <w:p w:rsidR="005874C2" w:rsidRPr="00FD050A" w:rsidRDefault="005874C2" w:rsidP="005874C2">
      <w:pPr>
        <w:pStyle w:val="Paragrafi"/>
        <w:rPr>
          <w:sz w:val="21"/>
          <w:szCs w:val="21"/>
          <w:lang w:val="sq-AL"/>
        </w:rPr>
      </w:pPr>
      <w:r w:rsidRPr="00FD050A">
        <w:rPr>
          <w:sz w:val="21"/>
          <w:szCs w:val="21"/>
          <w:lang w:val="sq-AL"/>
        </w:rPr>
        <w:t>3.</w:t>
      </w:r>
      <w:r w:rsidRPr="00FD050A">
        <w:rPr>
          <w:rFonts w:ascii="Times New Roman" w:hAnsi="Times New Roman"/>
          <w:sz w:val="21"/>
          <w:szCs w:val="21"/>
          <w:lang w:val="sq-AL"/>
        </w:rPr>
        <w:t> </w:t>
      </w:r>
      <w:r w:rsidRPr="00FD050A">
        <w:rPr>
          <w:sz w:val="21"/>
          <w:szCs w:val="21"/>
          <w:lang w:val="sq-AL"/>
        </w:rPr>
        <w:t>Drejtoria e Përgjithshme e Arkivave të nënshkruajë marrëveshjen përkatëse me organizatorët e ekspozitës, për kërkesat dhe kushtet e sigurimit në udhëtim, si dhe për kohën e veprimtarisë.</w:t>
      </w:r>
    </w:p>
    <w:p w:rsidR="005874C2" w:rsidRPr="00FD050A" w:rsidRDefault="005874C2" w:rsidP="005874C2">
      <w:pPr>
        <w:pStyle w:val="Paragrafi"/>
        <w:rPr>
          <w:sz w:val="21"/>
          <w:szCs w:val="21"/>
          <w:lang w:val="sq-AL"/>
        </w:rPr>
      </w:pPr>
      <w:r w:rsidRPr="00FD050A">
        <w:rPr>
          <w:sz w:val="21"/>
          <w:szCs w:val="21"/>
          <w:lang w:val="sq-AL"/>
        </w:rPr>
        <w:t>4.</w:t>
      </w:r>
      <w:r w:rsidRPr="00FD050A">
        <w:rPr>
          <w:rFonts w:ascii="Times New Roman" w:hAnsi="Times New Roman"/>
          <w:sz w:val="21"/>
          <w:szCs w:val="21"/>
          <w:lang w:val="sq-AL"/>
        </w:rPr>
        <w:t> </w:t>
      </w:r>
      <w:r w:rsidRPr="00FD050A">
        <w:rPr>
          <w:sz w:val="21"/>
          <w:szCs w:val="21"/>
          <w:lang w:val="sq-AL"/>
        </w:rPr>
        <w:t>Ngarkohet Drejtoria e Përgjithshme e Arkivave për ndjekjen dhe zbatimin e këtij vendimi.</w:t>
      </w:r>
    </w:p>
    <w:p w:rsidR="005874C2" w:rsidRPr="00FD050A" w:rsidRDefault="005874C2" w:rsidP="005874C2">
      <w:pPr>
        <w:pStyle w:val="Paragrafi"/>
        <w:rPr>
          <w:rFonts w:ascii="Times New Roman" w:hAnsi="Times New Roman"/>
          <w:sz w:val="21"/>
          <w:szCs w:val="21"/>
        </w:rPr>
      </w:pPr>
      <w:r w:rsidRPr="00FD050A">
        <w:rPr>
          <w:sz w:val="21"/>
          <w:szCs w:val="21"/>
          <w:lang w:val="sq-AL"/>
        </w:rPr>
        <w:t>Ky vendim hyn në fuqi menjëherë dhe botohet në Fletoren Zyrtare.</w:t>
      </w:r>
    </w:p>
    <w:p w:rsidR="005874C2" w:rsidRPr="00FD050A" w:rsidRDefault="005874C2" w:rsidP="005874C2">
      <w:pPr>
        <w:pStyle w:val="Autoriteti"/>
        <w:keepNext w:val="0"/>
      </w:pPr>
      <w:r w:rsidRPr="00FD050A">
        <w:rPr>
          <w:lang w:val="sq-AL"/>
        </w:rPr>
        <w:t> </w:t>
      </w:r>
      <w:r w:rsidRPr="00FD050A">
        <w:t xml:space="preserve">KRYEMINISTRI </w:t>
      </w:r>
    </w:p>
    <w:p w:rsidR="005874C2" w:rsidRPr="00FD050A" w:rsidRDefault="005874C2" w:rsidP="005874C2">
      <w:pPr>
        <w:pStyle w:val="AutoritetiEmer"/>
        <w:rPr>
          <w:sz w:val="21"/>
          <w:szCs w:val="21"/>
        </w:rPr>
      </w:pPr>
      <w:r w:rsidRPr="00FD050A">
        <w:rPr>
          <w:sz w:val="21"/>
          <w:szCs w:val="21"/>
        </w:rPr>
        <w:t>Sali Berisha</w:t>
      </w:r>
    </w:p>
    <w:p w:rsidR="005874C2" w:rsidRDefault="005874C2" w:rsidP="005874C2">
      <w:pPr>
        <w:pStyle w:val="TitulliTitull"/>
        <w:keepNext w:val="0"/>
        <w:rPr>
          <w:sz w:val="21"/>
          <w:szCs w:val="21"/>
        </w:rPr>
      </w:pPr>
    </w:p>
    <w:p w:rsidR="005874C2" w:rsidRDefault="005874C2" w:rsidP="005874C2">
      <w:pPr>
        <w:pStyle w:val="TitulliTitull"/>
        <w:keepNext w:val="0"/>
        <w:rPr>
          <w:sz w:val="21"/>
          <w:szCs w:val="21"/>
        </w:rPr>
      </w:pPr>
    </w:p>
    <w:p w:rsidR="005874C2" w:rsidRDefault="005874C2" w:rsidP="005874C2">
      <w:pPr>
        <w:pStyle w:val="TitulliTitull"/>
        <w:keepNext w:val="0"/>
        <w:rPr>
          <w:sz w:val="21"/>
          <w:szCs w:val="21"/>
        </w:rPr>
      </w:pPr>
    </w:p>
    <w:p w:rsidR="005874C2" w:rsidRDefault="005874C2" w:rsidP="005874C2">
      <w:pPr>
        <w:pStyle w:val="TitulliTitull"/>
        <w:keepNext w:val="0"/>
        <w:rPr>
          <w:sz w:val="21"/>
          <w:szCs w:val="21"/>
        </w:rPr>
      </w:pPr>
    </w:p>
    <w:p w:rsidR="005874C2" w:rsidRPr="00FD050A" w:rsidRDefault="005874C2" w:rsidP="005874C2">
      <w:pPr>
        <w:pStyle w:val="TitulliTitull"/>
        <w:keepNext w:val="0"/>
        <w:rPr>
          <w:sz w:val="21"/>
          <w:szCs w:val="21"/>
        </w:rPr>
      </w:pPr>
      <w:r w:rsidRPr="00FD050A">
        <w:rPr>
          <w:sz w:val="21"/>
          <w:szCs w:val="21"/>
        </w:rPr>
        <w:t>Lista e dokumenteve origjinale që do të ekspozohen në Ekspozitën “Shkëlqimi i Bizantit. Dorëshkrime bizantine të dekoruara në Ballkan, shek.VI-XIII”</w:t>
      </w:r>
    </w:p>
    <w:p w:rsidR="005874C2" w:rsidRPr="00FD050A" w:rsidRDefault="005874C2" w:rsidP="005874C2">
      <w:pPr>
        <w:pStyle w:val="Paragrafi"/>
        <w:rPr>
          <w:sz w:val="21"/>
          <w:szCs w:val="21"/>
        </w:rPr>
      </w:pPr>
    </w:p>
    <w:p w:rsidR="005874C2" w:rsidRPr="00FD050A" w:rsidRDefault="005874C2" w:rsidP="005874C2">
      <w:pPr>
        <w:pStyle w:val="Paragrafi"/>
        <w:rPr>
          <w:sz w:val="21"/>
          <w:szCs w:val="21"/>
        </w:rPr>
      </w:pPr>
      <w:r w:rsidRPr="00FD050A">
        <w:rPr>
          <w:sz w:val="21"/>
          <w:szCs w:val="21"/>
        </w:rPr>
        <w:t>1. Kodiku u purpurt i Beratit nr.1, dyungjillësh, shek.VI (f.488, D1): faqet 112,113,114,115;</w:t>
      </w:r>
    </w:p>
    <w:p w:rsidR="005874C2" w:rsidRPr="00FD050A" w:rsidRDefault="005874C2" w:rsidP="005874C2">
      <w:pPr>
        <w:pStyle w:val="Paragrafi"/>
        <w:rPr>
          <w:sz w:val="21"/>
          <w:szCs w:val="21"/>
        </w:rPr>
      </w:pPr>
      <w:r w:rsidRPr="00FD050A">
        <w:rPr>
          <w:sz w:val="21"/>
          <w:szCs w:val="21"/>
        </w:rPr>
        <w:t>2. Kodiku i Beratit nr.2, katërungjillësh, shek.IX (f.488, D 2): faqet 254, 255, 414, 415, 656, 657;</w:t>
      </w:r>
    </w:p>
    <w:p w:rsidR="005874C2" w:rsidRPr="00FD050A" w:rsidRDefault="005874C2" w:rsidP="005874C2">
      <w:pPr>
        <w:pStyle w:val="Paragrafi"/>
        <w:rPr>
          <w:sz w:val="21"/>
          <w:szCs w:val="21"/>
        </w:rPr>
      </w:pPr>
      <w:r w:rsidRPr="00FD050A">
        <w:rPr>
          <w:sz w:val="21"/>
          <w:szCs w:val="21"/>
        </w:rPr>
        <w:t>3. Kodiku i Beratit nr.3, ungjillar, shek. IX (f. 488, D 3) i plotë;</w:t>
      </w:r>
    </w:p>
    <w:p w:rsidR="005874C2" w:rsidRPr="00FD050A" w:rsidRDefault="005874C2" w:rsidP="005874C2">
      <w:pPr>
        <w:pStyle w:val="Paragrafi"/>
        <w:rPr>
          <w:sz w:val="21"/>
          <w:szCs w:val="21"/>
        </w:rPr>
      </w:pPr>
      <w:r w:rsidRPr="00FD050A">
        <w:rPr>
          <w:sz w:val="21"/>
          <w:szCs w:val="21"/>
        </w:rPr>
        <w:t>4. Kodiku i Beratit nr.4, katërungjillësh, shek.X (f.488 D.4) i plotë;</w:t>
      </w:r>
    </w:p>
    <w:p w:rsidR="005874C2" w:rsidRPr="00FD050A" w:rsidRDefault="005874C2" w:rsidP="005874C2">
      <w:pPr>
        <w:pStyle w:val="Paragrafi"/>
        <w:rPr>
          <w:sz w:val="21"/>
          <w:szCs w:val="21"/>
        </w:rPr>
      </w:pPr>
      <w:r w:rsidRPr="00FD050A">
        <w:rPr>
          <w:sz w:val="21"/>
          <w:szCs w:val="21"/>
        </w:rPr>
        <w:t>5. Kodiku i Vlorës nr.5, katërungjillësh, shek.X (f.488, D.5) i plotë;</w:t>
      </w:r>
    </w:p>
    <w:p w:rsidR="005874C2" w:rsidRPr="00FD050A" w:rsidRDefault="005874C2" w:rsidP="005874C2">
      <w:pPr>
        <w:pStyle w:val="Paragrafi"/>
        <w:rPr>
          <w:sz w:val="21"/>
          <w:szCs w:val="21"/>
        </w:rPr>
      </w:pPr>
      <w:r w:rsidRPr="00FD050A">
        <w:rPr>
          <w:sz w:val="21"/>
          <w:szCs w:val="21"/>
        </w:rPr>
        <w:t>6. Kodiku i Vlorës nr.10, katërungjillësh, shek.XIV (f.488, D.10) i plotë;</w:t>
      </w:r>
    </w:p>
    <w:p w:rsidR="005874C2" w:rsidRPr="00FD050A" w:rsidRDefault="005874C2" w:rsidP="005874C2">
      <w:pPr>
        <w:pStyle w:val="Paragrafi"/>
        <w:rPr>
          <w:sz w:val="21"/>
          <w:szCs w:val="21"/>
        </w:rPr>
      </w:pPr>
      <w:r w:rsidRPr="00FD050A">
        <w:rPr>
          <w:sz w:val="21"/>
          <w:szCs w:val="21"/>
        </w:rPr>
        <w:t>7. Kodiku i Vlorës nr.11, ungjillar, shek.XIII (f.488, D.11) i plotë;</w:t>
      </w:r>
    </w:p>
    <w:p w:rsidR="005874C2" w:rsidRPr="00FD050A" w:rsidRDefault="005874C2" w:rsidP="005874C2">
      <w:pPr>
        <w:pStyle w:val="Paragrafi"/>
        <w:rPr>
          <w:sz w:val="21"/>
          <w:szCs w:val="21"/>
        </w:rPr>
      </w:pPr>
      <w:r w:rsidRPr="00FD050A">
        <w:rPr>
          <w:sz w:val="21"/>
          <w:szCs w:val="21"/>
        </w:rPr>
        <w:t>8. Kodiku i Vlorës nr.13, ungjillar, shek.XIII-XIV (f.488, D.13) i plotë;</w:t>
      </w:r>
    </w:p>
    <w:p w:rsidR="005874C2" w:rsidRPr="00FD050A" w:rsidRDefault="005874C2" w:rsidP="005874C2">
      <w:pPr>
        <w:pStyle w:val="Paragrafi"/>
        <w:rPr>
          <w:sz w:val="21"/>
          <w:szCs w:val="21"/>
        </w:rPr>
      </w:pPr>
      <w:r w:rsidRPr="00FD050A">
        <w:rPr>
          <w:sz w:val="21"/>
          <w:szCs w:val="21"/>
        </w:rPr>
        <w:t>9. Kodiku i Beratit nr.15, katërungjillësh, shek.X (f.488, D.15) i plotë;</w:t>
      </w:r>
    </w:p>
    <w:p w:rsidR="005874C2" w:rsidRPr="00FD050A" w:rsidRDefault="005874C2" w:rsidP="005874C2">
      <w:pPr>
        <w:pStyle w:val="Paragrafi"/>
        <w:rPr>
          <w:sz w:val="21"/>
          <w:szCs w:val="21"/>
        </w:rPr>
      </w:pPr>
      <w:r w:rsidRPr="00FD050A">
        <w:rPr>
          <w:sz w:val="21"/>
          <w:szCs w:val="21"/>
        </w:rPr>
        <w:t>10. Kodiku i Beratit, nr.17, Veprat e apostujve, shek.X (f.483, D.17), i plotë;</w:t>
      </w:r>
    </w:p>
    <w:p w:rsidR="005874C2" w:rsidRPr="00FD050A" w:rsidRDefault="005874C2" w:rsidP="005874C2">
      <w:pPr>
        <w:pStyle w:val="Paragrafi"/>
        <w:rPr>
          <w:sz w:val="21"/>
          <w:szCs w:val="21"/>
        </w:rPr>
      </w:pPr>
      <w:r w:rsidRPr="00FD050A">
        <w:rPr>
          <w:sz w:val="21"/>
          <w:szCs w:val="21"/>
        </w:rPr>
        <w:t>11. Kodiku i Beratit nr.25, Panegjerik, shek.IX (f.488, D.25), i plotë;</w:t>
      </w:r>
    </w:p>
    <w:p w:rsidR="005874C2" w:rsidRPr="00FD050A" w:rsidRDefault="005874C2" w:rsidP="005874C2">
      <w:pPr>
        <w:pStyle w:val="Paragrafi"/>
        <w:rPr>
          <w:sz w:val="21"/>
          <w:szCs w:val="21"/>
        </w:rPr>
      </w:pPr>
      <w:r w:rsidRPr="00FD050A">
        <w:rPr>
          <w:sz w:val="21"/>
          <w:szCs w:val="21"/>
        </w:rPr>
        <w:t>12. Kodiku i Beratit nr.27, ligjërata të Vasilit të Madh, shek.IX-X (f.488, D.27) i plotë;</w:t>
      </w:r>
    </w:p>
    <w:p w:rsidR="005874C2" w:rsidRPr="00FD050A" w:rsidRDefault="005874C2" w:rsidP="005874C2">
      <w:pPr>
        <w:pStyle w:val="Paragrafi"/>
        <w:rPr>
          <w:sz w:val="21"/>
          <w:szCs w:val="21"/>
        </w:rPr>
      </w:pPr>
      <w:r w:rsidRPr="00FD050A">
        <w:rPr>
          <w:sz w:val="21"/>
          <w:szCs w:val="21"/>
        </w:rPr>
        <w:t>13. Kodiku i Korçës, nr.92, katërungjillësh, shek.X (f.488, D.92), i plotë;</w:t>
      </w:r>
    </w:p>
    <w:p w:rsidR="005874C2" w:rsidRPr="00FD050A" w:rsidRDefault="005874C2" w:rsidP="005874C2">
      <w:pPr>
        <w:pStyle w:val="Paragrafi"/>
        <w:rPr>
          <w:sz w:val="21"/>
          <w:szCs w:val="21"/>
        </w:rPr>
      </w:pPr>
      <w:r w:rsidRPr="00FD050A">
        <w:rPr>
          <w:sz w:val="21"/>
          <w:szCs w:val="21"/>
        </w:rPr>
        <w:t>14. Kodiku i Korçës nr.93, katërungjillësh, shek.X (f.488, D.93) i plotë.</w:t>
      </w:r>
    </w:p>
    <w:sectPr w:rsidR="005874C2" w:rsidRPr="00FD050A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5874C2"/>
    <w:rsid w:val="0000709E"/>
    <w:rsid w:val="000168D2"/>
    <w:rsid w:val="00034533"/>
    <w:rsid w:val="00074ECB"/>
    <w:rsid w:val="00094C8D"/>
    <w:rsid w:val="000E26BA"/>
    <w:rsid w:val="000E4149"/>
    <w:rsid w:val="0012658B"/>
    <w:rsid w:val="00134B4F"/>
    <w:rsid w:val="00142511"/>
    <w:rsid w:val="00185D06"/>
    <w:rsid w:val="001F6849"/>
    <w:rsid w:val="00215F4C"/>
    <w:rsid w:val="00227BE7"/>
    <w:rsid w:val="00234711"/>
    <w:rsid w:val="00241BA6"/>
    <w:rsid w:val="00241C39"/>
    <w:rsid w:val="0026534D"/>
    <w:rsid w:val="00266926"/>
    <w:rsid w:val="00285E2F"/>
    <w:rsid w:val="002908B3"/>
    <w:rsid w:val="002A7911"/>
    <w:rsid w:val="002E20F9"/>
    <w:rsid w:val="002F537C"/>
    <w:rsid w:val="00332540"/>
    <w:rsid w:val="003405C6"/>
    <w:rsid w:val="0034498D"/>
    <w:rsid w:val="003928A8"/>
    <w:rsid w:val="003B0C26"/>
    <w:rsid w:val="003B51C0"/>
    <w:rsid w:val="003E172F"/>
    <w:rsid w:val="003E4EDB"/>
    <w:rsid w:val="003E73B7"/>
    <w:rsid w:val="003F1DE3"/>
    <w:rsid w:val="004122D8"/>
    <w:rsid w:val="0041784A"/>
    <w:rsid w:val="00446661"/>
    <w:rsid w:val="004C170D"/>
    <w:rsid w:val="004D3981"/>
    <w:rsid w:val="004F3623"/>
    <w:rsid w:val="00517769"/>
    <w:rsid w:val="00535E88"/>
    <w:rsid w:val="00544CAA"/>
    <w:rsid w:val="0054530E"/>
    <w:rsid w:val="00550623"/>
    <w:rsid w:val="00570352"/>
    <w:rsid w:val="0058271B"/>
    <w:rsid w:val="005874C2"/>
    <w:rsid w:val="00587F36"/>
    <w:rsid w:val="005A0F2D"/>
    <w:rsid w:val="005B1039"/>
    <w:rsid w:val="005E511C"/>
    <w:rsid w:val="005F7E26"/>
    <w:rsid w:val="00614E18"/>
    <w:rsid w:val="006568F6"/>
    <w:rsid w:val="00663EDA"/>
    <w:rsid w:val="006874BA"/>
    <w:rsid w:val="00693FF3"/>
    <w:rsid w:val="006A303A"/>
    <w:rsid w:val="0071376D"/>
    <w:rsid w:val="00752C50"/>
    <w:rsid w:val="0075724A"/>
    <w:rsid w:val="007877D3"/>
    <w:rsid w:val="007B4080"/>
    <w:rsid w:val="007E689F"/>
    <w:rsid w:val="007F180F"/>
    <w:rsid w:val="00817EE7"/>
    <w:rsid w:val="008634B8"/>
    <w:rsid w:val="0089132F"/>
    <w:rsid w:val="008A6769"/>
    <w:rsid w:val="008B4EF7"/>
    <w:rsid w:val="008E4B9F"/>
    <w:rsid w:val="008E6154"/>
    <w:rsid w:val="008F56A5"/>
    <w:rsid w:val="00907285"/>
    <w:rsid w:val="00934964"/>
    <w:rsid w:val="009438E2"/>
    <w:rsid w:val="009474C3"/>
    <w:rsid w:val="009A651E"/>
    <w:rsid w:val="009B02F1"/>
    <w:rsid w:val="00A02EB2"/>
    <w:rsid w:val="00A07987"/>
    <w:rsid w:val="00A443C1"/>
    <w:rsid w:val="00A56BD5"/>
    <w:rsid w:val="00A857EE"/>
    <w:rsid w:val="00A94FF9"/>
    <w:rsid w:val="00A95AD7"/>
    <w:rsid w:val="00AC27E2"/>
    <w:rsid w:val="00B1514A"/>
    <w:rsid w:val="00B179D9"/>
    <w:rsid w:val="00B4631C"/>
    <w:rsid w:val="00B55AB4"/>
    <w:rsid w:val="00B71725"/>
    <w:rsid w:val="00BA2385"/>
    <w:rsid w:val="00BD753C"/>
    <w:rsid w:val="00BF1117"/>
    <w:rsid w:val="00C13704"/>
    <w:rsid w:val="00C738B5"/>
    <w:rsid w:val="00C83146"/>
    <w:rsid w:val="00C92AC9"/>
    <w:rsid w:val="00CD41A2"/>
    <w:rsid w:val="00CD6648"/>
    <w:rsid w:val="00CE2E2E"/>
    <w:rsid w:val="00D13872"/>
    <w:rsid w:val="00D23E52"/>
    <w:rsid w:val="00D35D7B"/>
    <w:rsid w:val="00D63723"/>
    <w:rsid w:val="00D71170"/>
    <w:rsid w:val="00D72107"/>
    <w:rsid w:val="00D9277A"/>
    <w:rsid w:val="00DA7390"/>
    <w:rsid w:val="00DC37A3"/>
    <w:rsid w:val="00DD41D0"/>
    <w:rsid w:val="00DD54D4"/>
    <w:rsid w:val="00E20AA5"/>
    <w:rsid w:val="00E4648D"/>
    <w:rsid w:val="00E87941"/>
    <w:rsid w:val="00E87F11"/>
    <w:rsid w:val="00EB5BF2"/>
    <w:rsid w:val="00ED3E5E"/>
    <w:rsid w:val="00EF0CF6"/>
    <w:rsid w:val="00EF672B"/>
    <w:rsid w:val="00F025AC"/>
    <w:rsid w:val="00F31BCD"/>
    <w:rsid w:val="00F4682B"/>
    <w:rsid w:val="00F7295B"/>
    <w:rsid w:val="00F74838"/>
    <w:rsid w:val="00F91D2E"/>
    <w:rsid w:val="00F9691A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28A28FA-5773-49EF-8198-56BF48AC2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03A"/>
    <w:rPr>
      <w:sz w:val="24"/>
      <w:szCs w:val="24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eastAsia="MS Mincho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eastAsia="MS Mincho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eastAsia="MS Mincho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eastAsia="MS Mincho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eastAsia="MS Mincho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link w:val="Char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kti">
    <w:name w:val="Akti"/>
    <w:link w:val="AktiChar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eastAsia="MS Mincho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styleId="BodyText">
    <w:name w:val="Body Text"/>
    <w:basedOn w:val="Normal"/>
    <w:rsid w:val="006A303A"/>
    <w:pPr>
      <w:spacing w:after="120"/>
    </w:pPr>
    <w:rPr>
      <w:rFonts w:eastAsia="MS Mincho"/>
    </w:r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eastAsia="MS Mincho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eastAsia="MS Mincho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eastAsia="MS Mincho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 w:cs="Book Antiqua"/>
      <w:sz w:val="22"/>
      <w:szCs w:val="22"/>
      <w:lang w:val="sq-AL"/>
    </w:rPr>
  </w:style>
  <w:style w:type="paragraph" w:customStyle="1" w:styleId="Char0">
    <w:name w:val="Char"/>
    <w:basedOn w:val="Normal"/>
    <w:rsid w:val="006A303A"/>
    <w:pPr>
      <w:spacing w:after="160" w:line="240" w:lineRule="exact"/>
    </w:pPr>
    <w:rPr>
      <w:rFonts w:ascii="Tahoma" w:eastAsia="MS Mincho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eastAsia="MS Mincho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rFonts w:eastAsia="MS Mincho"/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rFonts w:eastAsia="MS Mincho"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  <w:rPr>
      <w:rFonts w:eastAsia="MS Mincho"/>
    </w:r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eastAsia="MS Mincho" w:hAnsi="Trebuchet MS" w:cs="Trebuchet MS"/>
      <w:sz w:val="22"/>
      <w:szCs w:val="22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  <w:rPr>
      <w:rFonts w:eastAsia="MS Mincho"/>
    </w:r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rFonts w:eastAsia="MS Mincho"/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rFonts w:eastAsia="MS Mincho"/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MS Mincho"/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  <w:rPr>
      <w:rFonts w:eastAsia="MS Mincho"/>
    </w:r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</w:rPr>
  </w:style>
  <w:style w:type="paragraph" w:customStyle="1" w:styleId="NoSpacing1">
    <w:name w:val="No Spacing1"/>
    <w:basedOn w:val="Normal"/>
    <w:rsid w:val="006A303A"/>
    <w:rPr>
      <w:rFonts w:eastAsia="MS Mincho"/>
    </w:rPr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val="en-GB"/>
    </w:rPr>
  </w:style>
  <w:style w:type="paragraph" w:customStyle="1" w:styleId="NumriData">
    <w:name w:val="Numri_Data"/>
    <w:next w:val="Norma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val="en-GB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link w:val="TitulliChar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VENDOSI">
    <w:name w:val="VENDOS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character" w:customStyle="1" w:styleId="TitulliChar">
    <w:name w:val="Titulli Char"/>
    <w:basedOn w:val="DefaultParagraphFont"/>
    <w:link w:val="Titulli"/>
    <w:rsid w:val="005874C2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ParagrafiChar">
    <w:name w:val="Paragrafi Char"/>
    <w:link w:val="Paragrafi"/>
    <w:rsid w:val="005874C2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Char">
    <w:name w:val=" Char"/>
    <w:basedOn w:val="Normal"/>
    <w:link w:val="DefaultParagraphFont"/>
    <w:rsid w:val="005874C2"/>
    <w:pPr>
      <w:spacing w:after="160" w:line="240" w:lineRule="exact"/>
    </w:pPr>
    <w:rPr>
      <w:rFonts w:ascii="Tahoma" w:eastAsia="MS Mincho" w:hAnsi="Tahoma"/>
      <w:sz w:val="20"/>
      <w:szCs w:val="20"/>
      <w:lang w:val="en-GB"/>
    </w:rPr>
  </w:style>
  <w:style w:type="character" w:customStyle="1" w:styleId="AktiChar">
    <w:name w:val="Akti Char"/>
    <w:basedOn w:val="DefaultParagraphFont"/>
    <w:link w:val="Akti"/>
    <w:rsid w:val="005874C2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377</Words>
  <Characters>2150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2522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2019-03-19T14:29:00Z</dcterms:created>
  <dcterms:modified xsi:type="dcterms:W3CDTF">2019-03-19T14:29:00Z</dcterms:modified>
</cp:coreProperties>
</file>